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D59" w:rsidRDefault="00AE2D59" w:rsidP="003550E0">
      <w:pPr>
        <w:ind w:right="651"/>
      </w:pPr>
    </w:p>
    <w:p w:rsidR="003550E0" w:rsidRDefault="003550E0" w:rsidP="003550E0">
      <w:pPr>
        <w:ind w:left="708" w:right="-25"/>
        <w:jc w:val="center"/>
      </w:pPr>
      <w:r w:rsidRPr="0009531B">
        <w:t>Lokalne kryteria wyboru dla działania</w:t>
      </w:r>
      <w:r>
        <w:t xml:space="preserve"> „Wdrażanie lokalnej strategii rozwoju” dla operacji, </w:t>
      </w:r>
    </w:p>
    <w:p w:rsidR="003550E0" w:rsidRDefault="003550E0" w:rsidP="003550E0">
      <w:pPr>
        <w:ind w:left="708" w:right="-25"/>
        <w:jc w:val="center"/>
      </w:pPr>
      <w:r>
        <w:t xml:space="preserve">które odpowiadają warunkom przyznania pomocy w ramach działania </w:t>
      </w:r>
    </w:p>
    <w:p w:rsidR="003550E0" w:rsidRDefault="003550E0" w:rsidP="003550E0">
      <w:pPr>
        <w:ind w:left="708" w:right="-25"/>
        <w:jc w:val="center"/>
        <w:rPr>
          <w:b/>
        </w:rPr>
      </w:pPr>
      <w:r>
        <w:t>„</w:t>
      </w:r>
      <w:r>
        <w:rPr>
          <w:b/>
        </w:rPr>
        <w:t xml:space="preserve">Różnicowanie w kierunku działalności nierolniczej” </w:t>
      </w:r>
    </w:p>
    <w:p w:rsidR="00AE2D59" w:rsidRDefault="003550E0" w:rsidP="003550E0">
      <w:pPr>
        <w:ind w:left="567" w:right="651"/>
        <w:jc w:val="center"/>
      </w:pPr>
      <w:r>
        <w:t>obj</w:t>
      </w:r>
      <w:r w:rsidRPr="00A5483A">
        <w:t>ętego</w:t>
      </w:r>
      <w:r>
        <w:rPr>
          <w:b/>
        </w:rPr>
        <w:t xml:space="preserve"> </w:t>
      </w:r>
      <w:r w:rsidRPr="00A5483A">
        <w:t>PROW 2007 – 2013.</w:t>
      </w:r>
    </w:p>
    <w:p w:rsidR="00AE2D59" w:rsidRDefault="00AE2D59" w:rsidP="00AE2D59">
      <w:pPr>
        <w:spacing w:line="360" w:lineRule="auto"/>
        <w:rPr>
          <w:rFonts w:ascii="Arial" w:hAnsi="Arial" w:cs="Arial"/>
          <w:bCs/>
          <w:sz w:val="32"/>
          <w:szCs w:val="32"/>
        </w:rPr>
      </w:pP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062"/>
        <w:gridCol w:w="3542"/>
        <w:gridCol w:w="3573"/>
      </w:tblGrid>
      <w:tr w:rsidR="003550E0" w:rsidRPr="008B179A" w:rsidTr="003550E0">
        <w:trPr>
          <w:trHeight w:val="379"/>
          <w:jc w:val="center"/>
        </w:trPr>
        <w:tc>
          <w:tcPr>
            <w:tcW w:w="675" w:type="dxa"/>
          </w:tcPr>
          <w:p w:rsidR="003550E0" w:rsidRPr="008B179A" w:rsidRDefault="003550E0" w:rsidP="004B100A">
            <w:pPr>
              <w:jc w:val="center"/>
              <w:rPr>
                <w:b/>
              </w:rPr>
            </w:pPr>
            <w:r w:rsidRPr="008B179A">
              <w:rPr>
                <w:b/>
              </w:rPr>
              <w:t>Lp.</w:t>
            </w:r>
          </w:p>
        </w:tc>
        <w:tc>
          <w:tcPr>
            <w:tcW w:w="2062" w:type="dxa"/>
          </w:tcPr>
          <w:p w:rsidR="003550E0" w:rsidRPr="008B179A" w:rsidRDefault="003550E0" w:rsidP="004B100A">
            <w:pPr>
              <w:jc w:val="center"/>
              <w:rPr>
                <w:b/>
              </w:rPr>
            </w:pPr>
            <w:r w:rsidRPr="008B179A">
              <w:rPr>
                <w:b/>
              </w:rPr>
              <w:t>Nazwa kryterium</w:t>
            </w:r>
          </w:p>
        </w:tc>
        <w:tc>
          <w:tcPr>
            <w:tcW w:w="3542" w:type="dxa"/>
          </w:tcPr>
          <w:p w:rsidR="003550E0" w:rsidRPr="008B179A" w:rsidRDefault="003550E0" w:rsidP="004B100A">
            <w:pPr>
              <w:jc w:val="center"/>
              <w:rPr>
                <w:b/>
              </w:rPr>
            </w:pPr>
            <w:r w:rsidRPr="008B179A">
              <w:rPr>
                <w:b/>
              </w:rPr>
              <w:t>Sposób przydzielania punktacji</w:t>
            </w:r>
          </w:p>
        </w:tc>
        <w:tc>
          <w:tcPr>
            <w:tcW w:w="3573" w:type="dxa"/>
          </w:tcPr>
          <w:p w:rsidR="003550E0" w:rsidRPr="008B179A" w:rsidRDefault="003550E0" w:rsidP="004B100A">
            <w:pPr>
              <w:jc w:val="center"/>
              <w:rPr>
                <w:b/>
              </w:rPr>
            </w:pPr>
            <w:r w:rsidRPr="008B179A">
              <w:rPr>
                <w:b/>
              </w:rPr>
              <w:t>Opis kryterium</w:t>
            </w:r>
          </w:p>
        </w:tc>
      </w:tr>
      <w:tr w:rsidR="003550E0" w:rsidRPr="008B179A" w:rsidTr="003550E0">
        <w:trPr>
          <w:jc w:val="center"/>
        </w:trPr>
        <w:tc>
          <w:tcPr>
            <w:tcW w:w="675" w:type="dxa"/>
          </w:tcPr>
          <w:p w:rsidR="003550E0" w:rsidRPr="008B179A" w:rsidRDefault="003550E0" w:rsidP="004B100A">
            <w:r w:rsidRPr="008B179A">
              <w:t>1.</w:t>
            </w:r>
          </w:p>
        </w:tc>
        <w:tc>
          <w:tcPr>
            <w:tcW w:w="2062" w:type="dxa"/>
          </w:tcPr>
          <w:p w:rsidR="003550E0" w:rsidRPr="008B179A" w:rsidRDefault="003550E0" w:rsidP="004B100A">
            <w:pPr>
              <w:rPr>
                <w:b/>
              </w:rPr>
            </w:pPr>
            <w:r w:rsidRPr="008B179A">
              <w:rPr>
                <w:b/>
              </w:rPr>
              <w:t>Innowacyjność,</w:t>
            </w:r>
          </w:p>
          <w:p w:rsidR="003550E0" w:rsidRPr="008B179A" w:rsidRDefault="003550E0" w:rsidP="004B100A">
            <w:pPr>
              <w:rPr>
                <w:b/>
              </w:rPr>
            </w:pPr>
            <w:r w:rsidRPr="008B179A">
              <w:t>czyli wykorzystanie rozwiązań innowacyjnych na obszarze LGD</w:t>
            </w:r>
          </w:p>
        </w:tc>
        <w:tc>
          <w:tcPr>
            <w:tcW w:w="3542" w:type="dxa"/>
          </w:tcPr>
          <w:p w:rsidR="003550E0" w:rsidRPr="008B179A" w:rsidRDefault="003550E0" w:rsidP="004B100A">
            <w:r w:rsidRPr="008B179A">
              <w:t>0 pkt. – Wnioskodawca nie przewidział rozwiązań innowacyjnych niepraktykowanych dotąd na obszarze Lokalnej Grupy Działania EUROGALICA .</w:t>
            </w:r>
          </w:p>
          <w:p w:rsidR="003550E0" w:rsidRPr="008B179A" w:rsidRDefault="003550E0" w:rsidP="004B100A">
            <w:r w:rsidRPr="008B179A">
              <w:t>5 pkt. – Wnioskodawca przewidział w operacji rozwiązania przyczyniające się do rozwoju innowacyjności na obszarze Lokalnej Grupy Działania EUROGALICA  w małym stopniu.</w:t>
            </w:r>
          </w:p>
          <w:p w:rsidR="003550E0" w:rsidRPr="008B179A" w:rsidRDefault="003550E0" w:rsidP="004B100A">
            <w:r w:rsidRPr="008B179A">
              <w:t>10 pkt. - Wnioskodawca przewidział w operacji rozwiązania przyczyniające się do rozwoju innowacyjności na obszarze Lokalnej Grupy Działania EUROGALICA  w średnim stopniu.</w:t>
            </w:r>
          </w:p>
          <w:p w:rsidR="003550E0" w:rsidRPr="008B179A" w:rsidRDefault="003550E0" w:rsidP="004B100A">
            <w:r w:rsidRPr="008B179A">
              <w:t>15 pkt. - Wnioskodawca przewidział w operacji rozwiązania przyczyniające się do rozwoju innowacyjności na obszarze Lokalnej Grupy Działania EUROGALICA  w dużym stopniu.</w:t>
            </w:r>
          </w:p>
        </w:tc>
        <w:tc>
          <w:tcPr>
            <w:tcW w:w="3573" w:type="dxa"/>
          </w:tcPr>
          <w:p w:rsidR="003550E0" w:rsidRPr="008B179A" w:rsidRDefault="003550E0" w:rsidP="004B100A">
            <w:pPr>
              <w:widowControl w:val="0"/>
              <w:autoSpaceDE w:val="0"/>
              <w:autoSpaceDN w:val="0"/>
              <w:adjustRightInd w:val="0"/>
              <w:ind w:right="-25"/>
            </w:pPr>
            <w:r w:rsidRPr="008B179A">
              <w:t>Ocenie podlegają działania, które operacja zawiera oraz stopień wykorzystania rozwiązań opartych na innowacji lokalnej, czyli wykorzystującej rozwiązania niepraktykowane dotąd na obszarze LGD.</w:t>
            </w:r>
          </w:p>
          <w:p w:rsidR="003550E0" w:rsidRPr="008B179A" w:rsidRDefault="003550E0" w:rsidP="004B100A">
            <w:pPr>
              <w:widowControl w:val="0"/>
              <w:autoSpaceDE w:val="0"/>
              <w:autoSpaceDN w:val="0"/>
              <w:adjustRightInd w:val="0"/>
              <w:ind w:right="-25"/>
            </w:pPr>
            <w:r w:rsidRPr="008B179A">
              <w:t>Innowacja odnosi się do tworzenia czegoś nowego, zatem musi mieć charakter ewolucyjny, polegać na udoskonaleniu istniejących form lub wprowadzeniu zupełnie nowego model prowadzącego do zmian. Punkty będą przyznawane na podstawie uzasadnienia zawartego we wniosku. Punktowane będą operacje, które zawierają nie tylko innowacje technologiczne, ale również innowacje społeczne, innowacje produktowe itp.</w:t>
            </w:r>
          </w:p>
          <w:p w:rsidR="003550E0" w:rsidRPr="008B179A" w:rsidRDefault="003550E0" w:rsidP="004B100A">
            <w:pPr>
              <w:widowControl w:val="0"/>
              <w:autoSpaceDE w:val="0"/>
              <w:autoSpaceDN w:val="0"/>
              <w:adjustRightInd w:val="0"/>
              <w:spacing w:before="4"/>
              <w:ind w:right="-25"/>
            </w:pPr>
          </w:p>
          <w:p w:rsidR="003550E0" w:rsidRPr="008B179A" w:rsidRDefault="003550E0" w:rsidP="004B100A"/>
        </w:tc>
      </w:tr>
      <w:tr w:rsidR="003550E0" w:rsidRPr="008B179A" w:rsidTr="003550E0">
        <w:trPr>
          <w:jc w:val="center"/>
        </w:trPr>
        <w:tc>
          <w:tcPr>
            <w:tcW w:w="675" w:type="dxa"/>
          </w:tcPr>
          <w:p w:rsidR="003550E0" w:rsidRPr="008B179A" w:rsidRDefault="003550E0" w:rsidP="004B100A">
            <w:r w:rsidRPr="008B179A">
              <w:t>2.</w:t>
            </w:r>
          </w:p>
        </w:tc>
        <w:tc>
          <w:tcPr>
            <w:tcW w:w="2062" w:type="dxa"/>
          </w:tcPr>
          <w:p w:rsidR="003550E0" w:rsidRPr="008B179A" w:rsidRDefault="003550E0" w:rsidP="004B100A">
            <w:r w:rsidRPr="008B179A">
              <w:rPr>
                <w:b/>
              </w:rPr>
              <w:t>Powierzchnia gospodarstwa rolnego</w:t>
            </w:r>
            <w:r w:rsidRPr="008B179A">
              <w:t>,</w:t>
            </w:r>
          </w:p>
          <w:p w:rsidR="003550E0" w:rsidRPr="008B179A" w:rsidRDefault="003550E0" w:rsidP="004B100A">
            <w:r w:rsidRPr="008B179A">
              <w:t>czyli powierzchnia gospodarstwa, które posiada lub w którym pracuje wnioskodawca</w:t>
            </w:r>
          </w:p>
        </w:tc>
        <w:tc>
          <w:tcPr>
            <w:tcW w:w="3542" w:type="dxa"/>
          </w:tcPr>
          <w:p w:rsidR="003550E0" w:rsidRPr="008B179A" w:rsidRDefault="003550E0" w:rsidP="004B100A">
            <w:r w:rsidRPr="008B179A">
              <w:t>1 pkt.- powierzchnia gospodarstwa rolnego powyżej 10 ha,</w:t>
            </w:r>
          </w:p>
          <w:p w:rsidR="003550E0" w:rsidRPr="008B179A" w:rsidRDefault="003550E0" w:rsidP="004B100A">
            <w:r w:rsidRPr="008B179A">
              <w:t xml:space="preserve">3 pkt. - powierzchnia gospodarstwa rolnego mieści się w przedziale </w:t>
            </w:r>
            <w:r w:rsidRPr="008B179A">
              <w:br/>
              <w:t>5-10 ha,</w:t>
            </w:r>
          </w:p>
          <w:p w:rsidR="003550E0" w:rsidRPr="008B179A" w:rsidRDefault="003550E0" w:rsidP="004B100A">
            <w:r w:rsidRPr="008B179A">
              <w:t xml:space="preserve">5 pkt. - powierzchnia gospodarstwa rolnego mieści się w przedziale </w:t>
            </w:r>
            <w:r w:rsidRPr="008B179A">
              <w:br/>
            </w:r>
            <w:r w:rsidRPr="008B179A">
              <w:lastRenderedPageBreak/>
              <w:t>3-5 ha,</w:t>
            </w:r>
          </w:p>
          <w:p w:rsidR="003550E0" w:rsidRPr="008B179A" w:rsidRDefault="003550E0" w:rsidP="004B100A">
            <w:r w:rsidRPr="008B179A">
              <w:t>10 pkt. - powierzchnia gospodarstwa rolnego mieści się w przedziale</w:t>
            </w:r>
          </w:p>
          <w:p w:rsidR="003550E0" w:rsidRPr="008B179A" w:rsidRDefault="003550E0" w:rsidP="004B100A">
            <w:r w:rsidRPr="008B179A">
              <w:t>0-3 ha.</w:t>
            </w:r>
          </w:p>
        </w:tc>
        <w:tc>
          <w:tcPr>
            <w:tcW w:w="3573" w:type="dxa"/>
          </w:tcPr>
          <w:p w:rsidR="003550E0" w:rsidRPr="008B179A" w:rsidRDefault="003550E0" w:rsidP="004B100A">
            <w:pPr>
              <w:widowControl w:val="0"/>
              <w:autoSpaceDE w:val="0"/>
              <w:autoSpaceDN w:val="0"/>
              <w:adjustRightInd w:val="0"/>
              <w:ind w:right="-25"/>
            </w:pPr>
            <w:r w:rsidRPr="008B179A">
              <w:lastRenderedPageBreak/>
              <w:t xml:space="preserve">Oceniana jest wielkość powierzchni gospodarstwa, które posiada lub w którym pracuje wnioskodawca. Kryterium preferuje najmniejszą powierzchnię gospodarstwa rolnego gdyż one najbardziej potrzebują przekwalifikowania na działalność nierolniczą. </w:t>
            </w:r>
          </w:p>
          <w:p w:rsidR="003550E0" w:rsidRPr="008B179A" w:rsidRDefault="003550E0" w:rsidP="004B100A"/>
        </w:tc>
      </w:tr>
      <w:tr w:rsidR="003550E0" w:rsidRPr="008B179A" w:rsidTr="003550E0">
        <w:trPr>
          <w:trHeight w:val="2085"/>
          <w:jc w:val="center"/>
        </w:trPr>
        <w:tc>
          <w:tcPr>
            <w:tcW w:w="675" w:type="dxa"/>
          </w:tcPr>
          <w:p w:rsidR="003550E0" w:rsidRPr="008B179A" w:rsidRDefault="003550E0" w:rsidP="004B100A">
            <w:r w:rsidRPr="008B179A">
              <w:lastRenderedPageBreak/>
              <w:t>3.</w:t>
            </w:r>
          </w:p>
        </w:tc>
        <w:tc>
          <w:tcPr>
            <w:tcW w:w="2062" w:type="dxa"/>
          </w:tcPr>
          <w:p w:rsidR="003550E0" w:rsidRPr="008B179A" w:rsidRDefault="003550E0" w:rsidP="004B100A">
            <w:pPr>
              <w:rPr>
                <w:b/>
              </w:rPr>
            </w:pPr>
            <w:r w:rsidRPr="008B179A">
              <w:rPr>
                <w:b/>
              </w:rPr>
              <w:t xml:space="preserve">Kwota dofinansowania, </w:t>
            </w:r>
          </w:p>
          <w:p w:rsidR="003550E0" w:rsidRPr="008B179A" w:rsidRDefault="003550E0" w:rsidP="004B100A">
            <w:r w:rsidRPr="008B179A">
              <w:t>czyli zakładana przez Wnioskodawcę wartość dofinansowania dla operacji</w:t>
            </w:r>
          </w:p>
        </w:tc>
        <w:tc>
          <w:tcPr>
            <w:tcW w:w="3542" w:type="dxa"/>
          </w:tcPr>
          <w:p w:rsidR="003550E0" w:rsidRPr="008B179A" w:rsidRDefault="003550E0" w:rsidP="004B100A">
            <w:pPr>
              <w:rPr>
                <w:spacing w:val="-9"/>
              </w:rPr>
            </w:pPr>
            <w:r w:rsidRPr="008B179A">
              <w:rPr>
                <w:spacing w:val="-9"/>
              </w:rPr>
              <w:t>Za każde 10 % kwoty dofinansowania, niższej od maksymalnego przyznawane będą  2 punkty wg wzoru:</w:t>
            </w:r>
          </w:p>
          <w:p w:rsidR="003550E0" w:rsidRPr="008B179A" w:rsidRDefault="003550E0" w:rsidP="004B100A">
            <w:pPr>
              <w:widowControl w:val="0"/>
              <w:autoSpaceDE w:val="0"/>
              <w:autoSpaceDN w:val="0"/>
              <w:adjustRightInd w:val="0"/>
              <w:ind w:right="-25"/>
              <w:jc w:val="both"/>
            </w:pPr>
            <w:r w:rsidRPr="008B179A">
              <w:t>(20%x2pkt)*10=4pkt.</w:t>
            </w:r>
          </w:p>
          <w:p w:rsidR="003550E0" w:rsidRPr="008B179A" w:rsidRDefault="003550E0" w:rsidP="004B100A">
            <w:r w:rsidRPr="008B179A">
              <w:rPr>
                <w:spacing w:val="-9"/>
              </w:rPr>
              <w:t>Suma uzyskanych punktów dzięki obniżeniu kwoty dofinansowania nie może przekroczyć liczby 10.</w:t>
            </w:r>
          </w:p>
        </w:tc>
        <w:tc>
          <w:tcPr>
            <w:tcW w:w="3573" w:type="dxa"/>
          </w:tcPr>
          <w:p w:rsidR="003550E0" w:rsidRPr="008B179A" w:rsidRDefault="003550E0" w:rsidP="004B100A">
            <w:pPr>
              <w:widowControl w:val="0"/>
              <w:autoSpaceDE w:val="0"/>
              <w:autoSpaceDN w:val="0"/>
              <w:adjustRightInd w:val="0"/>
              <w:spacing w:before="7"/>
              <w:ind w:right="-25"/>
              <w:rPr>
                <w:spacing w:val="-9"/>
              </w:rPr>
            </w:pPr>
            <w:r w:rsidRPr="008B179A">
              <w:t xml:space="preserve">Oceniana jest wysokość wnioskowanej kwoty dofinansowania. </w:t>
            </w:r>
            <w:r w:rsidRPr="008B179A">
              <w:rPr>
                <w:spacing w:val="-9"/>
              </w:rPr>
              <w:t>Kryterium będzie promowało projekty w ramach, których wnioskodawca wnioskować będzie o mniejszą od maksymalnej kwotę dofinansowania. Pozwoli to objąć wsparciem większa liczbę gospodarstw na obszarze LGD.</w:t>
            </w:r>
          </w:p>
          <w:p w:rsidR="003550E0" w:rsidRPr="008B179A" w:rsidRDefault="003550E0" w:rsidP="004B100A"/>
        </w:tc>
      </w:tr>
      <w:tr w:rsidR="003550E0" w:rsidRPr="008B179A" w:rsidTr="003550E0">
        <w:trPr>
          <w:jc w:val="center"/>
        </w:trPr>
        <w:tc>
          <w:tcPr>
            <w:tcW w:w="675" w:type="dxa"/>
          </w:tcPr>
          <w:p w:rsidR="003550E0" w:rsidRPr="008B179A" w:rsidRDefault="003550E0" w:rsidP="004B100A">
            <w:r w:rsidRPr="008B179A">
              <w:t>4.</w:t>
            </w:r>
          </w:p>
        </w:tc>
        <w:tc>
          <w:tcPr>
            <w:tcW w:w="2062" w:type="dxa"/>
          </w:tcPr>
          <w:p w:rsidR="003550E0" w:rsidRPr="008B179A" w:rsidRDefault="003550E0" w:rsidP="004B100A">
            <w:pPr>
              <w:rPr>
                <w:b/>
              </w:rPr>
            </w:pPr>
            <w:r w:rsidRPr="008B179A">
              <w:rPr>
                <w:b/>
              </w:rPr>
              <w:t>Nowe miejsca pracy</w:t>
            </w:r>
          </w:p>
          <w:p w:rsidR="003550E0" w:rsidRPr="008B179A" w:rsidRDefault="003550E0" w:rsidP="004B100A">
            <w:r w:rsidRPr="008B179A">
              <w:t>czyli liczba pełnych etatów, które operacja zakłada utworzyć</w:t>
            </w:r>
          </w:p>
        </w:tc>
        <w:tc>
          <w:tcPr>
            <w:tcW w:w="3542" w:type="dxa"/>
          </w:tcPr>
          <w:p w:rsidR="003550E0" w:rsidRPr="008B179A" w:rsidRDefault="003550E0" w:rsidP="004B100A">
            <w:r w:rsidRPr="008B179A">
              <w:t>0 pkt. – w wyniku realizacji operacji nie powstaną nowe miejsca pracy,</w:t>
            </w:r>
          </w:p>
          <w:p w:rsidR="003550E0" w:rsidRPr="008B179A" w:rsidRDefault="003550E0" w:rsidP="004B100A">
            <w:r w:rsidRPr="008B179A">
              <w:t>4 pkt. - w wyniku realizacji operacji powstanie jedno miejsce pracy w wymiarze etatu,</w:t>
            </w:r>
          </w:p>
          <w:p w:rsidR="003550E0" w:rsidRPr="008B179A" w:rsidRDefault="003550E0" w:rsidP="004B100A">
            <w:r w:rsidRPr="008B179A">
              <w:t>8 pkt. - w wyniku realizacji operacji powstaną dwa miejsca pracy w wymiarze dwóch etatów,</w:t>
            </w:r>
          </w:p>
          <w:p w:rsidR="003550E0" w:rsidRPr="008B179A" w:rsidRDefault="003550E0" w:rsidP="004B100A">
            <w:r w:rsidRPr="008B179A">
              <w:t>12 pkt. - w wyniku realizacji operacji powstaną trzy miejsce pracy w wymiarze trzech etatów,</w:t>
            </w:r>
          </w:p>
          <w:p w:rsidR="003550E0" w:rsidRPr="008B179A" w:rsidRDefault="003550E0" w:rsidP="004B100A">
            <w:r w:rsidRPr="008B179A">
              <w:t>16 pkt. - w wyniku realizacji operacji powstaną cztery miejsce pracy w wymiarze czterech etatów,</w:t>
            </w:r>
          </w:p>
          <w:p w:rsidR="003550E0" w:rsidRPr="008B179A" w:rsidRDefault="003550E0" w:rsidP="004B100A">
            <w:r w:rsidRPr="008B179A">
              <w:t>20 pkt. - w wyniku realizacji operacji powstanie min. pięć miejsce pracy w wymiarze pięciu etatów.</w:t>
            </w:r>
          </w:p>
        </w:tc>
        <w:tc>
          <w:tcPr>
            <w:tcW w:w="3573" w:type="dxa"/>
          </w:tcPr>
          <w:p w:rsidR="003550E0" w:rsidRPr="008B179A" w:rsidRDefault="003550E0" w:rsidP="004B100A">
            <w:pPr>
              <w:widowControl w:val="0"/>
              <w:autoSpaceDE w:val="0"/>
              <w:autoSpaceDN w:val="0"/>
              <w:adjustRightInd w:val="0"/>
              <w:ind w:right="-25"/>
            </w:pPr>
            <w:r w:rsidRPr="008B179A">
              <w:t>Ocenie podlega liczba utworzonych nowych miejsc pracy w wymiarze pełnych etatów, w związku z realizacją operacji. Kryterium promować będzie projekty o najwyższej liczbie powstających  miejsc pracy. Punktacja uzależniona jest od liczby deklarowanych miejsc pracy- 4 punkty za każde miejsce pracy.</w:t>
            </w:r>
          </w:p>
          <w:p w:rsidR="003550E0" w:rsidRPr="008B179A" w:rsidRDefault="003550E0" w:rsidP="004B100A">
            <w:r w:rsidRPr="008B179A">
              <w:t>Suma uzyskanych punktów nie może przekroczyć liczby 20.</w:t>
            </w:r>
            <w:r w:rsidRPr="008B179A">
              <w:br/>
            </w:r>
          </w:p>
        </w:tc>
      </w:tr>
      <w:tr w:rsidR="003550E0" w:rsidRPr="008B179A" w:rsidTr="003550E0">
        <w:trPr>
          <w:jc w:val="center"/>
        </w:trPr>
        <w:tc>
          <w:tcPr>
            <w:tcW w:w="675" w:type="dxa"/>
          </w:tcPr>
          <w:p w:rsidR="003550E0" w:rsidRPr="008B179A" w:rsidRDefault="003550E0" w:rsidP="004B100A">
            <w:r w:rsidRPr="008B179A">
              <w:t>5.</w:t>
            </w:r>
          </w:p>
        </w:tc>
        <w:tc>
          <w:tcPr>
            <w:tcW w:w="2062" w:type="dxa"/>
          </w:tcPr>
          <w:p w:rsidR="003550E0" w:rsidRPr="008B179A" w:rsidRDefault="003550E0" w:rsidP="004B100A">
            <w:pPr>
              <w:rPr>
                <w:b/>
              </w:rPr>
            </w:pPr>
            <w:r w:rsidRPr="008B179A">
              <w:rPr>
                <w:b/>
              </w:rPr>
              <w:t>Komplementarność</w:t>
            </w:r>
          </w:p>
          <w:p w:rsidR="003550E0" w:rsidRPr="008B179A" w:rsidRDefault="003550E0" w:rsidP="004B100A">
            <w:r w:rsidRPr="008B179A">
              <w:t>czyli oceniana jest spójność operacji z innymi projektami realizowanymi na obszarze LGD.</w:t>
            </w:r>
          </w:p>
        </w:tc>
        <w:tc>
          <w:tcPr>
            <w:tcW w:w="3542" w:type="dxa"/>
          </w:tcPr>
          <w:p w:rsidR="003550E0" w:rsidRPr="008B179A" w:rsidRDefault="003550E0" w:rsidP="004B100A">
            <w:r w:rsidRPr="008B179A">
              <w:t>0 pkt. – operacja nie jest komplementarna z innymi projektami realizowanymi na obszarze LSR,</w:t>
            </w:r>
          </w:p>
          <w:p w:rsidR="003550E0" w:rsidRPr="008B179A" w:rsidRDefault="003550E0" w:rsidP="004B100A">
            <w:r w:rsidRPr="008B179A">
              <w:t>4 pkt. – operacja jest komplementarna z jednym projektem realizowanym na obszarze LSR ,</w:t>
            </w:r>
          </w:p>
          <w:p w:rsidR="003550E0" w:rsidRPr="008B179A" w:rsidRDefault="003550E0" w:rsidP="004B100A">
            <w:r w:rsidRPr="008B179A">
              <w:t xml:space="preserve">8 pkt. – operacja jest komplementarna z dwoma </w:t>
            </w:r>
            <w:r w:rsidRPr="008B179A">
              <w:lastRenderedPageBreak/>
              <w:t>projektami realizowanymi na obszarze LSR,</w:t>
            </w:r>
          </w:p>
          <w:p w:rsidR="003550E0" w:rsidRPr="008B179A" w:rsidRDefault="003550E0" w:rsidP="004B100A">
            <w:r w:rsidRPr="008B179A">
              <w:t>12 pkt. – operacja jest komplementarna z trzema projektami realizowanymi na obszarze LSR,</w:t>
            </w:r>
          </w:p>
          <w:p w:rsidR="003550E0" w:rsidRPr="008B179A" w:rsidRDefault="003550E0" w:rsidP="004B100A">
            <w:r w:rsidRPr="008B179A">
              <w:t>16 pkt.  – operacja jest komplementarna z czterema projektami realizowanymi na obszarze LSR,</w:t>
            </w:r>
          </w:p>
          <w:p w:rsidR="003550E0" w:rsidRPr="008B179A" w:rsidRDefault="003550E0" w:rsidP="004B100A">
            <w:r w:rsidRPr="008B179A">
              <w:t>20 pkt. – operacja jest komplementarna z pięcioma i więcej projektami realizowanymi na obszarze LSR.</w:t>
            </w:r>
          </w:p>
        </w:tc>
        <w:tc>
          <w:tcPr>
            <w:tcW w:w="3573" w:type="dxa"/>
          </w:tcPr>
          <w:p w:rsidR="003550E0" w:rsidRPr="008B179A" w:rsidRDefault="003550E0" w:rsidP="004B100A">
            <w:r w:rsidRPr="008B179A">
              <w:lastRenderedPageBreak/>
              <w:t xml:space="preserve">Oceniana jest komplementarność operacji z innymi projektami realizowanymi na obszarze LSR. Kryterium promować będzie projekty najbardziej komplementarne, czyli takie które w większym stopniu będą się przyczyniać do spójności obszaru LSR. Punktacja uzależniona jest od liczby komplementarnych </w:t>
            </w:r>
            <w:r w:rsidRPr="008B179A">
              <w:lastRenderedPageBreak/>
              <w:t>działań, w które wpisuje się operacja, 4 punkty za każde komplementarne działanie. Liczba punktów nie może być wyższa niż 20.</w:t>
            </w:r>
          </w:p>
        </w:tc>
      </w:tr>
      <w:tr w:rsidR="003550E0" w:rsidRPr="008B179A" w:rsidTr="003550E0">
        <w:trPr>
          <w:jc w:val="center"/>
        </w:trPr>
        <w:tc>
          <w:tcPr>
            <w:tcW w:w="675" w:type="dxa"/>
          </w:tcPr>
          <w:p w:rsidR="003550E0" w:rsidRPr="008B179A" w:rsidRDefault="003550E0" w:rsidP="004B100A">
            <w:r w:rsidRPr="008B179A">
              <w:lastRenderedPageBreak/>
              <w:t>6.</w:t>
            </w:r>
          </w:p>
        </w:tc>
        <w:tc>
          <w:tcPr>
            <w:tcW w:w="2062" w:type="dxa"/>
          </w:tcPr>
          <w:p w:rsidR="003550E0" w:rsidRPr="008B179A" w:rsidRDefault="003550E0" w:rsidP="004B100A">
            <w:pPr>
              <w:rPr>
                <w:b/>
              </w:rPr>
            </w:pPr>
            <w:r w:rsidRPr="008B179A">
              <w:rPr>
                <w:b/>
              </w:rPr>
              <w:t xml:space="preserve">Lokalne zasoby </w:t>
            </w:r>
          </w:p>
          <w:p w:rsidR="003550E0" w:rsidRPr="008B179A" w:rsidRDefault="003550E0" w:rsidP="004B100A">
            <w:r w:rsidRPr="008B179A">
              <w:t>czyli stopień wykorzystania lokalnych zasobów do realizacji operacji</w:t>
            </w:r>
          </w:p>
        </w:tc>
        <w:tc>
          <w:tcPr>
            <w:tcW w:w="3542" w:type="dxa"/>
          </w:tcPr>
          <w:p w:rsidR="003550E0" w:rsidRPr="008B179A" w:rsidRDefault="003550E0" w:rsidP="004B100A">
            <w:r w:rsidRPr="008B179A">
              <w:t>5 pkt. – do realizacji operacji nie zostaną wykorzystane lokalne zasoby,</w:t>
            </w:r>
          </w:p>
          <w:p w:rsidR="003550E0" w:rsidRPr="008B179A" w:rsidRDefault="003550E0" w:rsidP="004B100A">
            <w:r w:rsidRPr="008B179A">
              <w:t>10 pkt. – do realizacji operacji zostanie wykorzystany jeden lokalny zasób,</w:t>
            </w:r>
          </w:p>
          <w:p w:rsidR="003550E0" w:rsidRPr="008B179A" w:rsidRDefault="003550E0" w:rsidP="004B100A">
            <w:r w:rsidRPr="008B179A">
              <w:t>15 pkt.- do realizacji operacji zostanie wykorzystanych więcej niż jeden lokalny zasób (kulturalny, historyczny, przyrodniczy itp.)</w:t>
            </w:r>
          </w:p>
        </w:tc>
        <w:tc>
          <w:tcPr>
            <w:tcW w:w="3573" w:type="dxa"/>
          </w:tcPr>
          <w:p w:rsidR="003550E0" w:rsidRPr="008B179A" w:rsidRDefault="003550E0" w:rsidP="004B100A">
            <w:r w:rsidRPr="008B179A">
              <w:t xml:space="preserve">Operacja będzie oceniana pod kątem wykorzystania lokalnych zasobów, lokalnego dziedzictwa kulturalnego, historycznego, przyrodniczego itp. Kryterium promować będzie projekty wykorzystujące w największym stopniu lokalne zasoby. </w:t>
            </w:r>
          </w:p>
        </w:tc>
      </w:tr>
      <w:tr w:rsidR="003550E0" w:rsidRPr="008B179A" w:rsidTr="003550E0">
        <w:trPr>
          <w:jc w:val="center"/>
        </w:trPr>
        <w:tc>
          <w:tcPr>
            <w:tcW w:w="675" w:type="dxa"/>
          </w:tcPr>
          <w:p w:rsidR="003550E0" w:rsidRPr="008B179A" w:rsidRDefault="003550E0" w:rsidP="004B100A">
            <w:r w:rsidRPr="008B179A">
              <w:t>7.</w:t>
            </w:r>
          </w:p>
        </w:tc>
        <w:tc>
          <w:tcPr>
            <w:tcW w:w="2062" w:type="dxa"/>
          </w:tcPr>
          <w:p w:rsidR="003550E0" w:rsidRPr="008B179A" w:rsidRDefault="003550E0" w:rsidP="004B100A">
            <w:pPr>
              <w:rPr>
                <w:b/>
              </w:rPr>
            </w:pPr>
            <w:r w:rsidRPr="008B179A">
              <w:rPr>
                <w:b/>
              </w:rPr>
              <w:t>Operacja wpływa na realizację celów szczegółowych LSR</w:t>
            </w:r>
          </w:p>
        </w:tc>
        <w:tc>
          <w:tcPr>
            <w:tcW w:w="3542" w:type="dxa"/>
          </w:tcPr>
          <w:p w:rsidR="003550E0" w:rsidRPr="008B179A" w:rsidRDefault="003550E0" w:rsidP="004B100A">
            <w:r w:rsidRPr="008B179A">
              <w:t>0 pkt. – operacja wpływa na realizację 1 celu,</w:t>
            </w:r>
          </w:p>
          <w:p w:rsidR="003550E0" w:rsidRPr="008B179A" w:rsidRDefault="003550E0" w:rsidP="004B100A">
            <w:r w:rsidRPr="008B179A">
              <w:t>5 pkt.- operacja wpływa na realizację 2 celów,</w:t>
            </w:r>
          </w:p>
          <w:p w:rsidR="003550E0" w:rsidRPr="008B179A" w:rsidRDefault="003550E0" w:rsidP="004B100A">
            <w:r w:rsidRPr="008B179A">
              <w:t>10 pkt. – operacja wpływa na realizację 3 lub więcej celów.</w:t>
            </w:r>
          </w:p>
        </w:tc>
        <w:tc>
          <w:tcPr>
            <w:tcW w:w="3573" w:type="dxa"/>
          </w:tcPr>
          <w:p w:rsidR="003550E0" w:rsidRPr="008B179A" w:rsidRDefault="003550E0" w:rsidP="004B100A">
            <w:r w:rsidRPr="008B179A">
              <w:t xml:space="preserve">Oceniany jest wpływ operacji na realizację jak największej ilości celów. Ocenie będą podlegać cele LSR planowane do realizacji w ramach operacji pod kątem tego czy będą tworzyć między sobą  logiczne związki i wzajemnie na siebie oddziaływać. </w:t>
            </w:r>
          </w:p>
        </w:tc>
      </w:tr>
      <w:tr w:rsidR="003550E0" w:rsidRPr="008B179A" w:rsidTr="003550E0">
        <w:trPr>
          <w:jc w:val="center"/>
        </w:trPr>
        <w:tc>
          <w:tcPr>
            <w:tcW w:w="9852" w:type="dxa"/>
            <w:gridSpan w:val="4"/>
          </w:tcPr>
          <w:p w:rsidR="003550E0" w:rsidRPr="008B179A" w:rsidRDefault="003550E0" w:rsidP="004B100A">
            <w:pPr>
              <w:widowControl w:val="0"/>
              <w:autoSpaceDE w:val="0"/>
              <w:autoSpaceDN w:val="0"/>
              <w:adjustRightInd w:val="0"/>
              <w:ind w:right="-25"/>
              <w:jc w:val="both"/>
            </w:pPr>
            <w:r w:rsidRPr="008B179A">
              <w:t>Pr</w:t>
            </w:r>
            <w:r w:rsidRPr="008B179A">
              <w:rPr>
                <w:spacing w:val="-2"/>
              </w:rPr>
              <w:t>z</w:t>
            </w:r>
            <w:r w:rsidRPr="008B179A">
              <w:t>y wybor</w:t>
            </w:r>
            <w:r w:rsidRPr="008B179A">
              <w:rPr>
                <w:spacing w:val="-4"/>
              </w:rPr>
              <w:t>z</w:t>
            </w:r>
            <w:r w:rsidRPr="008B179A">
              <w:t>e ope</w:t>
            </w:r>
            <w:r w:rsidRPr="008B179A">
              <w:rPr>
                <w:spacing w:val="-5"/>
              </w:rPr>
              <w:t>r</w:t>
            </w:r>
            <w:r w:rsidRPr="008B179A">
              <w:t>acji do dofinanso</w:t>
            </w:r>
            <w:r w:rsidRPr="008B179A">
              <w:rPr>
                <w:spacing w:val="-4"/>
              </w:rPr>
              <w:t>w</w:t>
            </w:r>
            <w:r w:rsidRPr="008B179A">
              <w:t>ania będą b</w:t>
            </w:r>
            <w:r w:rsidRPr="008B179A">
              <w:rPr>
                <w:spacing w:val="-5"/>
              </w:rPr>
              <w:t>r</w:t>
            </w:r>
            <w:r w:rsidRPr="008B179A">
              <w:t>ane pod u</w:t>
            </w:r>
            <w:r w:rsidRPr="008B179A">
              <w:rPr>
                <w:spacing w:val="-3"/>
              </w:rPr>
              <w:t>w</w:t>
            </w:r>
            <w:r w:rsidRPr="008B179A">
              <w:t>agą ope</w:t>
            </w:r>
            <w:r w:rsidRPr="008B179A">
              <w:rPr>
                <w:spacing w:val="-5"/>
              </w:rPr>
              <w:t>r</w:t>
            </w:r>
            <w:r w:rsidRPr="008B179A">
              <w:t>acje, k</w:t>
            </w:r>
            <w:r w:rsidRPr="008B179A">
              <w:rPr>
                <w:spacing w:val="-4"/>
              </w:rPr>
              <w:t>t</w:t>
            </w:r>
            <w:r w:rsidRPr="008B179A">
              <w:t>ó</w:t>
            </w:r>
            <w:r w:rsidRPr="008B179A">
              <w:rPr>
                <w:spacing w:val="-3"/>
              </w:rPr>
              <w:t>r</w:t>
            </w:r>
            <w:r w:rsidRPr="008B179A">
              <w:t>e u</w:t>
            </w:r>
            <w:r w:rsidRPr="008B179A">
              <w:rPr>
                <w:spacing w:val="-2"/>
              </w:rPr>
              <w:t>z</w:t>
            </w:r>
            <w:r w:rsidRPr="008B179A">
              <w:rPr>
                <w:spacing w:val="-3"/>
              </w:rPr>
              <w:t>y</w:t>
            </w:r>
            <w:r w:rsidRPr="008B179A">
              <w:t>s</w:t>
            </w:r>
            <w:r w:rsidRPr="008B179A">
              <w:rPr>
                <w:spacing w:val="-5"/>
              </w:rPr>
              <w:t>k</w:t>
            </w:r>
            <w:r w:rsidRPr="008B179A">
              <w:t>ają minimum 30% ma</w:t>
            </w:r>
            <w:r w:rsidRPr="008B179A">
              <w:rPr>
                <w:spacing w:val="-3"/>
              </w:rPr>
              <w:t>k</w:t>
            </w:r>
            <w:r w:rsidRPr="008B179A">
              <w:rPr>
                <w:spacing w:val="-5"/>
              </w:rPr>
              <w:t>s</w:t>
            </w:r>
            <w:r w:rsidRPr="008B179A">
              <w:t>ymalnej liczby punk</w:t>
            </w:r>
            <w:r w:rsidRPr="008B179A">
              <w:rPr>
                <w:spacing w:val="-4"/>
              </w:rPr>
              <w:t>t</w:t>
            </w:r>
            <w:r w:rsidRPr="008B179A">
              <w:t>ó</w:t>
            </w:r>
            <w:r w:rsidRPr="008B179A">
              <w:rPr>
                <w:spacing w:val="-18"/>
              </w:rPr>
              <w:t>w</w:t>
            </w:r>
            <w:r w:rsidRPr="008B179A">
              <w:t>, które można uzyskać w trakcie oceny zgodności operacji z lokalnymi kryteriami.</w:t>
            </w:r>
          </w:p>
        </w:tc>
      </w:tr>
    </w:tbl>
    <w:p w:rsidR="00AE2D59" w:rsidRDefault="00AE2D59" w:rsidP="00AE2D59">
      <w:pPr>
        <w:spacing w:line="360" w:lineRule="auto"/>
        <w:rPr>
          <w:rFonts w:ascii="Arial" w:hAnsi="Arial" w:cs="Arial"/>
          <w:bCs/>
          <w:sz w:val="32"/>
          <w:szCs w:val="32"/>
        </w:rPr>
      </w:pPr>
    </w:p>
    <w:p w:rsidR="00AE2D59" w:rsidRDefault="00AE2D59" w:rsidP="00AE2D59">
      <w:pPr>
        <w:spacing w:line="360" w:lineRule="auto"/>
        <w:jc w:val="center"/>
        <w:rPr>
          <w:rFonts w:ascii="Arial" w:hAnsi="Arial" w:cs="Arial"/>
          <w:bCs/>
          <w:sz w:val="32"/>
          <w:szCs w:val="32"/>
        </w:rPr>
      </w:pPr>
    </w:p>
    <w:sectPr w:rsidR="00AE2D59" w:rsidSect="001A54FD">
      <w:headerReference w:type="default" r:id="rId8"/>
      <w:footerReference w:type="default" r:id="rId9"/>
      <w:pgSz w:w="11906" w:h="16838"/>
      <w:pgMar w:top="238" w:right="244" w:bottom="244" w:left="238" w:header="27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663E" w:rsidRDefault="0068663E" w:rsidP="000B258B">
      <w:r>
        <w:separator/>
      </w:r>
    </w:p>
  </w:endnote>
  <w:endnote w:type="continuationSeparator" w:id="1">
    <w:p w:rsidR="0068663E" w:rsidRDefault="0068663E" w:rsidP="000B25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B27" w:rsidRPr="00D51EF5" w:rsidRDefault="00853B27" w:rsidP="00DE2EED">
    <w:pPr>
      <w:pStyle w:val="Stopka"/>
      <w:ind w:right="651"/>
      <w:jc w:val="right"/>
      <w:rPr>
        <w:rFonts w:ascii="Tahoma" w:hAnsi="Tahoma" w:cs="Tahoma"/>
        <w:color w:val="000000" w:themeColor="text1"/>
        <w:sz w:val="16"/>
        <w:szCs w:val="16"/>
      </w:rPr>
    </w:pPr>
    <w:r w:rsidRPr="00D51EF5">
      <w:rPr>
        <w:rFonts w:ascii="Tahoma" w:hAnsi="Tahoma" w:cs="Tahoma"/>
        <w:color w:val="000000" w:themeColor="text1"/>
        <w:sz w:val="16"/>
        <w:szCs w:val="16"/>
      </w:rPr>
      <w:t>Stowarzyszenie Lokalna Grupa Działania „EUROGALICJA”</w:t>
    </w:r>
  </w:p>
  <w:p w:rsidR="00853B27" w:rsidRPr="00D51EF5" w:rsidRDefault="00853B27" w:rsidP="00DE2EED">
    <w:pPr>
      <w:pStyle w:val="Stopka"/>
      <w:ind w:right="651"/>
      <w:jc w:val="right"/>
      <w:rPr>
        <w:rFonts w:ascii="Tahoma" w:hAnsi="Tahoma" w:cs="Tahoma"/>
        <w:color w:val="000000" w:themeColor="text1"/>
        <w:sz w:val="16"/>
        <w:szCs w:val="16"/>
      </w:rPr>
    </w:pPr>
    <w:r w:rsidRPr="00D51EF5">
      <w:rPr>
        <w:rFonts w:ascii="Tahoma" w:hAnsi="Tahoma" w:cs="Tahoma"/>
        <w:color w:val="000000" w:themeColor="text1"/>
        <w:sz w:val="16"/>
        <w:szCs w:val="16"/>
      </w:rPr>
      <w:t>36-001 Trzebownisko 976</w:t>
    </w:r>
  </w:p>
  <w:p w:rsidR="00853B27" w:rsidRPr="00D51EF5" w:rsidRDefault="00853B27" w:rsidP="00DE2EED">
    <w:pPr>
      <w:pStyle w:val="Stopka"/>
      <w:ind w:right="651"/>
      <w:jc w:val="right"/>
      <w:rPr>
        <w:rFonts w:ascii="Tahoma" w:hAnsi="Tahoma" w:cs="Tahoma"/>
        <w:color w:val="000000" w:themeColor="text1"/>
        <w:sz w:val="16"/>
        <w:szCs w:val="16"/>
      </w:rPr>
    </w:pPr>
    <w:r w:rsidRPr="00D51EF5">
      <w:rPr>
        <w:rFonts w:ascii="Tahoma" w:hAnsi="Tahoma" w:cs="Tahoma"/>
        <w:color w:val="000000" w:themeColor="text1"/>
        <w:sz w:val="16"/>
        <w:szCs w:val="16"/>
      </w:rPr>
      <w:t>tel.: (17) 771-00-05</w:t>
    </w:r>
  </w:p>
  <w:p w:rsidR="00853B27" w:rsidRDefault="00BA17DB" w:rsidP="00DE2EED">
    <w:pPr>
      <w:pStyle w:val="Stopka"/>
      <w:ind w:right="651"/>
      <w:jc w:val="right"/>
    </w:pPr>
    <w:hyperlink r:id="rId1" w:history="1">
      <w:r w:rsidR="00853B27" w:rsidRPr="00D51EF5">
        <w:rPr>
          <w:rStyle w:val="Hipercze"/>
          <w:rFonts w:ascii="Tahoma" w:hAnsi="Tahoma" w:cs="Tahoma"/>
          <w:color w:val="000000" w:themeColor="text1"/>
          <w:sz w:val="16"/>
          <w:szCs w:val="16"/>
          <w:u w:val="none"/>
        </w:rPr>
        <w:t>biuro@eurogalicja.com.pl</w:t>
      </w:r>
    </w:hyperlink>
  </w:p>
  <w:p w:rsidR="00853B27" w:rsidRPr="00D51EF5" w:rsidRDefault="00853B27" w:rsidP="00DE2EED">
    <w:pPr>
      <w:pStyle w:val="Stopka"/>
      <w:ind w:right="651"/>
      <w:jc w:val="right"/>
      <w:rPr>
        <w:rFonts w:ascii="Tahoma" w:hAnsi="Tahoma" w:cs="Tahoma"/>
        <w:color w:val="000000" w:themeColor="text1"/>
        <w:sz w:val="16"/>
        <w:szCs w:val="16"/>
      </w:rPr>
    </w:pPr>
  </w:p>
  <w:p w:rsidR="00853B27" w:rsidRPr="00230B0C" w:rsidRDefault="00853B27" w:rsidP="00230B0C">
    <w:pPr>
      <w:pStyle w:val="Nagwek"/>
      <w:ind w:left="-238"/>
      <w:jc w:val="center"/>
      <w:rPr>
        <w:sz w:val="12"/>
      </w:rPr>
    </w:pPr>
    <w:r>
      <w:object w:dxaOrig="12650"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03pt;height:25.5pt" o:ole="">
          <v:imagedata r:id="rId2" o:title=""/>
        </v:shape>
        <o:OLEObject Type="Embed" ProgID="CorelDRAW.Graphic.13" ShapeID="_x0000_i1029" DrawAspect="Content" ObjectID="_1413881473" r:id="rId3"/>
      </w:object>
    </w:r>
  </w:p>
  <w:p w:rsidR="00853B27" w:rsidRDefault="00853B27" w:rsidP="00230B0C">
    <w:pPr>
      <w:pStyle w:val="Nagwek"/>
      <w:ind w:left="-238"/>
      <w:jc w:val="center"/>
      <w:rPr>
        <w:rFonts w:ascii="Tahoma" w:hAnsi="Tahoma" w:cs="Tahoma"/>
        <w:sz w:val="16"/>
      </w:rPr>
    </w:pPr>
    <w:r w:rsidRPr="00431615">
      <w:rPr>
        <w:rFonts w:ascii="Tahoma" w:hAnsi="Tahoma" w:cs="Tahoma"/>
        <w:sz w:val="16"/>
      </w:rPr>
      <w:t xml:space="preserve">„Europejski </w:t>
    </w:r>
    <w:r>
      <w:rPr>
        <w:rFonts w:ascii="Tahoma" w:hAnsi="Tahoma" w:cs="Tahoma"/>
        <w:sz w:val="16"/>
      </w:rPr>
      <w:t xml:space="preserve"> </w:t>
    </w:r>
    <w:r w:rsidRPr="00431615">
      <w:rPr>
        <w:rFonts w:ascii="Tahoma" w:hAnsi="Tahoma" w:cs="Tahoma"/>
        <w:sz w:val="16"/>
      </w:rPr>
      <w:t>Fundusz</w:t>
    </w:r>
    <w:r>
      <w:rPr>
        <w:rFonts w:ascii="Tahoma" w:hAnsi="Tahoma" w:cs="Tahoma"/>
        <w:sz w:val="16"/>
      </w:rPr>
      <w:t xml:space="preserve"> </w:t>
    </w:r>
    <w:r w:rsidRPr="00431615">
      <w:rPr>
        <w:rFonts w:ascii="Tahoma" w:hAnsi="Tahoma" w:cs="Tahoma"/>
        <w:sz w:val="16"/>
      </w:rPr>
      <w:t xml:space="preserve"> Rolny </w:t>
    </w:r>
    <w:r>
      <w:rPr>
        <w:rFonts w:ascii="Tahoma" w:hAnsi="Tahoma" w:cs="Tahoma"/>
        <w:sz w:val="16"/>
      </w:rPr>
      <w:t xml:space="preserve"> </w:t>
    </w:r>
    <w:r w:rsidRPr="00431615">
      <w:rPr>
        <w:rFonts w:ascii="Tahoma" w:hAnsi="Tahoma" w:cs="Tahoma"/>
        <w:sz w:val="16"/>
      </w:rPr>
      <w:t xml:space="preserve">na </w:t>
    </w:r>
    <w:r>
      <w:rPr>
        <w:rFonts w:ascii="Tahoma" w:hAnsi="Tahoma" w:cs="Tahoma"/>
        <w:sz w:val="16"/>
      </w:rPr>
      <w:t xml:space="preserve"> </w:t>
    </w:r>
    <w:r w:rsidRPr="00431615">
      <w:rPr>
        <w:rFonts w:ascii="Tahoma" w:hAnsi="Tahoma" w:cs="Tahoma"/>
        <w:sz w:val="16"/>
      </w:rPr>
      <w:t xml:space="preserve">Rzecz </w:t>
    </w:r>
    <w:r>
      <w:rPr>
        <w:rFonts w:ascii="Tahoma" w:hAnsi="Tahoma" w:cs="Tahoma"/>
        <w:sz w:val="16"/>
      </w:rPr>
      <w:t xml:space="preserve"> </w:t>
    </w:r>
    <w:r w:rsidRPr="00431615">
      <w:rPr>
        <w:rFonts w:ascii="Tahoma" w:hAnsi="Tahoma" w:cs="Tahoma"/>
        <w:sz w:val="16"/>
      </w:rPr>
      <w:t xml:space="preserve">Rozwoju </w:t>
    </w:r>
    <w:r>
      <w:rPr>
        <w:rFonts w:ascii="Tahoma" w:hAnsi="Tahoma" w:cs="Tahoma"/>
        <w:sz w:val="16"/>
      </w:rPr>
      <w:t xml:space="preserve"> </w:t>
    </w:r>
    <w:r w:rsidRPr="00431615">
      <w:rPr>
        <w:rFonts w:ascii="Tahoma" w:hAnsi="Tahoma" w:cs="Tahoma"/>
        <w:sz w:val="16"/>
      </w:rPr>
      <w:t xml:space="preserve">Obszarów </w:t>
    </w:r>
    <w:r>
      <w:rPr>
        <w:rFonts w:ascii="Tahoma" w:hAnsi="Tahoma" w:cs="Tahoma"/>
        <w:sz w:val="16"/>
      </w:rPr>
      <w:t xml:space="preserve"> </w:t>
    </w:r>
    <w:r w:rsidRPr="00431615">
      <w:rPr>
        <w:rFonts w:ascii="Tahoma" w:hAnsi="Tahoma" w:cs="Tahoma"/>
        <w:sz w:val="16"/>
      </w:rPr>
      <w:t>Wiejskich:</w:t>
    </w:r>
    <w:r>
      <w:rPr>
        <w:rFonts w:ascii="Tahoma" w:hAnsi="Tahoma" w:cs="Tahoma"/>
        <w:sz w:val="16"/>
      </w:rPr>
      <w:t xml:space="preserve"> </w:t>
    </w:r>
    <w:r w:rsidRPr="00431615">
      <w:rPr>
        <w:rFonts w:ascii="Tahoma" w:hAnsi="Tahoma" w:cs="Tahoma"/>
        <w:sz w:val="16"/>
      </w:rPr>
      <w:t xml:space="preserve"> Europa </w:t>
    </w:r>
    <w:r>
      <w:rPr>
        <w:rFonts w:ascii="Tahoma" w:hAnsi="Tahoma" w:cs="Tahoma"/>
        <w:sz w:val="16"/>
      </w:rPr>
      <w:t xml:space="preserve"> </w:t>
    </w:r>
    <w:r w:rsidRPr="00431615">
      <w:rPr>
        <w:rFonts w:ascii="Tahoma" w:hAnsi="Tahoma" w:cs="Tahoma"/>
        <w:sz w:val="16"/>
      </w:rPr>
      <w:t>Inwestująca</w:t>
    </w:r>
    <w:r>
      <w:rPr>
        <w:rFonts w:ascii="Tahoma" w:hAnsi="Tahoma" w:cs="Tahoma"/>
        <w:sz w:val="16"/>
      </w:rPr>
      <w:t xml:space="preserve"> </w:t>
    </w:r>
    <w:r w:rsidRPr="00431615">
      <w:rPr>
        <w:rFonts w:ascii="Tahoma" w:hAnsi="Tahoma" w:cs="Tahoma"/>
        <w:sz w:val="16"/>
      </w:rPr>
      <w:t xml:space="preserve"> w</w:t>
    </w:r>
    <w:r>
      <w:rPr>
        <w:rFonts w:ascii="Tahoma" w:hAnsi="Tahoma" w:cs="Tahoma"/>
        <w:sz w:val="16"/>
      </w:rPr>
      <w:t xml:space="preserve"> </w:t>
    </w:r>
    <w:r w:rsidRPr="00431615">
      <w:rPr>
        <w:rFonts w:ascii="Tahoma" w:hAnsi="Tahoma" w:cs="Tahoma"/>
        <w:sz w:val="16"/>
      </w:rPr>
      <w:t xml:space="preserve"> obszary </w:t>
    </w:r>
    <w:r>
      <w:rPr>
        <w:rFonts w:ascii="Tahoma" w:hAnsi="Tahoma" w:cs="Tahoma"/>
        <w:sz w:val="16"/>
      </w:rPr>
      <w:t xml:space="preserve"> </w:t>
    </w:r>
    <w:r w:rsidRPr="00431615">
      <w:rPr>
        <w:rFonts w:ascii="Tahoma" w:hAnsi="Tahoma" w:cs="Tahoma"/>
        <w:sz w:val="16"/>
      </w:rPr>
      <w:t>wiejskie”</w:t>
    </w:r>
  </w:p>
  <w:p w:rsidR="00853B27" w:rsidRPr="00230B0C" w:rsidRDefault="00853B27" w:rsidP="00230B0C">
    <w:pPr>
      <w:pStyle w:val="Stopka"/>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663E" w:rsidRDefault="0068663E" w:rsidP="000B258B">
      <w:r>
        <w:separator/>
      </w:r>
    </w:p>
  </w:footnote>
  <w:footnote w:type="continuationSeparator" w:id="1">
    <w:p w:rsidR="0068663E" w:rsidRDefault="0068663E" w:rsidP="000B25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B27" w:rsidRPr="00230B0C" w:rsidRDefault="00853B27" w:rsidP="001A54FD">
    <w:pPr>
      <w:pStyle w:val="Nagwek"/>
      <w:ind w:left="-238"/>
      <w:rPr>
        <w:sz w:val="10"/>
      </w:rPr>
    </w:pPr>
    <w:r>
      <w:object w:dxaOrig="12646" w:dyaOrig="9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9.25pt;height:22.5pt" o:ole="">
          <v:imagedata r:id="rId1" o:title=""/>
        </v:shape>
        <o:OLEObject Type="Embed" ProgID="CorelDRAW.Graphic.13" ShapeID="_x0000_i1025" DrawAspect="Content" ObjectID="_1413881469" r:id="rId2"/>
      </w:object>
    </w:r>
  </w:p>
  <w:p w:rsidR="00853B27" w:rsidRDefault="00853B27" w:rsidP="000B258B">
    <w:pPr>
      <w:pStyle w:val="Nagwek"/>
    </w:pPr>
    <w:r>
      <w:t xml:space="preserve">                </w:t>
    </w:r>
    <w:r>
      <w:rPr>
        <w:noProof/>
      </w:rPr>
      <w:drawing>
        <wp:inline distT="0" distB="0" distL="0" distR="0">
          <wp:extent cx="698269" cy="520065"/>
          <wp:effectExtent l="19050" t="0" r="6581" b="0"/>
          <wp:docPr id="8" name="Obraz 8" descr="C:\Documents and Settings\user\Pulpit\flaga u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user\Pulpit\flaga ue1.jpg"/>
                  <pic:cNvPicPr>
                    <a:picLocks noChangeAspect="1" noChangeArrowheads="1"/>
                  </pic:cNvPicPr>
                </pic:nvPicPr>
                <pic:blipFill>
                  <a:blip r:embed="rId3"/>
                  <a:srcRect/>
                  <a:stretch>
                    <a:fillRect/>
                  </a:stretch>
                </pic:blipFill>
                <pic:spPr bwMode="auto">
                  <a:xfrm>
                    <a:off x="0" y="0"/>
                    <a:ext cx="699330" cy="520855"/>
                  </a:xfrm>
                  <a:prstGeom prst="rect">
                    <a:avLst/>
                  </a:prstGeom>
                  <a:noFill/>
                  <a:ln w="9525">
                    <a:noFill/>
                    <a:miter lim="800000"/>
                    <a:headEnd/>
                    <a:tailEnd/>
                  </a:ln>
                </pic:spPr>
              </pic:pic>
            </a:graphicData>
          </a:graphic>
        </wp:inline>
      </w:drawing>
    </w:r>
    <w:r>
      <w:t xml:space="preserve">                  </w:t>
    </w:r>
    <w:r>
      <w:rPr>
        <w:noProof/>
      </w:rPr>
      <w:drawing>
        <wp:inline distT="0" distB="0" distL="0" distR="0">
          <wp:extent cx="447708" cy="520065"/>
          <wp:effectExtent l="19050" t="0" r="9492" b="0"/>
          <wp:docPr id="9" name="Obraz 9" descr="C:\Documents and Settings\user\Pulpit\województwo podkarpack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user\Pulpit\województwo podkarpackie.jpg"/>
                  <pic:cNvPicPr>
                    <a:picLocks noChangeAspect="1" noChangeArrowheads="1"/>
                  </pic:cNvPicPr>
                </pic:nvPicPr>
                <pic:blipFill>
                  <a:blip r:embed="rId4"/>
                  <a:srcRect/>
                  <a:stretch>
                    <a:fillRect/>
                  </a:stretch>
                </pic:blipFill>
                <pic:spPr bwMode="auto">
                  <a:xfrm>
                    <a:off x="0" y="0"/>
                    <a:ext cx="447997" cy="520400"/>
                  </a:xfrm>
                  <a:prstGeom prst="rect">
                    <a:avLst/>
                  </a:prstGeom>
                  <a:noFill/>
                  <a:ln w="9525">
                    <a:noFill/>
                    <a:miter lim="800000"/>
                    <a:headEnd/>
                    <a:tailEnd/>
                  </a:ln>
                </pic:spPr>
              </pic:pic>
            </a:graphicData>
          </a:graphic>
        </wp:inline>
      </w:drawing>
    </w:r>
    <w:r>
      <w:t xml:space="preserve">                   </w:t>
    </w:r>
    <w:r w:rsidRPr="000B258B">
      <w:object w:dxaOrig="4099" w:dyaOrig="4087">
        <v:shape id="_x0000_i1026" type="#_x0000_t75" style="width:41.25pt;height:41.25pt" o:ole="">
          <v:imagedata r:id="rId5" o:title=""/>
        </v:shape>
        <o:OLEObject Type="Embed" ProgID="CorelDRAW.Graphic.13" ShapeID="_x0000_i1026" DrawAspect="Content" ObjectID="_1413881470" r:id="rId6"/>
      </w:object>
    </w:r>
    <w:r>
      <w:t xml:space="preserve">                   </w:t>
    </w:r>
    <w:r w:rsidRPr="000B258B">
      <w:object w:dxaOrig="9217" w:dyaOrig="5898">
        <v:shape id="_x0000_i1027" type="#_x0000_t75" style="width:1in;height:45.75pt" o:ole="">
          <v:imagedata r:id="rId7" o:title=""/>
        </v:shape>
        <o:OLEObject Type="Embed" ProgID="CorelDRAW.Graphic.13" ShapeID="_x0000_i1027" DrawAspect="Content" ObjectID="_1413881471" r:id="rId8"/>
      </w:object>
    </w:r>
    <w:r>
      <w:t xml:space="preserve">                  </w:t>
    </w:r>
    <w:r w:rsidRPr="000B258B">
      <w:object w:dxaOrig="8997" w:dyaOrig="5915">
        <v:shape id="_x0000_i1028" type="#_x0000_t75" style="width:62.25pt;height:40.5pt" o:ole="">
          <v:imagedata r:id="rId9" o:title=""/>
        </v:shape>
        <o:OLEObject Type="Embed" ProgID="CorelDRAW.Graphic.13" ShapeID="_x0000_i1028" DrawAspect="Content" ObjectID="_1413881472" r:id="rId10"/>
      </w:object>
    </w:r>
  </w:p>
  <w:p w:rsidR="00853B27" w:rsidRDefault="00853B27" w:rsidP="000B258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B1A31C8"/>
    <w:lvl w:ilvl="0">
      <w:numFmt w:val="bullet"/>
      <w:lvlText w:val="*"/>
      <w:lvlJc w:val="left"/>
    </w:lvl>
  </w:abstractNum>
  <w:abstractNum w:abstractNumId="1">
    <w:nsid w:val="00A8675D"/>
    <w:multiLevelType w:val="hybridMultilevel"/>
    <w:tmpl w:val="4584613C"/>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2">
    <w:nsid w:val="02D12873"/>
    <w:multiLevelType w:val="hybridMultilevel"/>
    <w:tmpl w:val="3C90D340"/>
    <w:lvl w:ilvl="0" w:tplc="170EE6C8">
      <w:start w:val="1"/>
      <w:numFmt w:val="decimal"/>
      <w:lvlText w:val="%1."/>
      <w:lvlJc w:val="left"/>
      <w:pPr>
        <w:ind w:left="1353" w:hanging="360"/>
      </w:pPr>
      <w:rPr>
        <w:rFonts w:hint="default"/>
        <w:color w:val="404040" w:themeColor="text1" w:themeTint="BF"/>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
    <w:nsid w:val="042655FC"/>
    <w:multiLevelType w:val="hybridMultilevel"/>
    <w:tmpl w:val="7A6622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EE0CE5"/>
    <w:multiLevelType w:val="hybridMultilevel"/>
    <w:tmpl w:val="8124C5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454E57"/>
    <w:multiLevelType w:val="hybridMultilevel"/>
    <w:tmpl w:val="28024DA6"/>
    <w:lvl w:ilvl="0" w:tplc="7EEEF77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nsid w:val="1837335A"/>
    <w:multiLevelType w:val="hybridMultilevel"/>
    <w:tmpl w:val="A09C066C"/>
    <w:lvl w:ilvl="0" w:tplc="04150011">
      <w:start w:val="1"/>
      <w:numFmt w:val="decimal"/>
      <w:lvlText w:val="%1)"/>
      <w:lvlJc w:val="left"/>
      <w:pPr>
        <w:tabs>
          <w:tab w:val="num" w:pos="720"/>
        </w:tabs>
        <w:ind w:left="720" w:hanging="360"/>
      </w:pPr>
      <w:rPr>
        <w:rFonts w:hint="default"/>
      </w:rPr>
    </w:lvl>
    <w:lvl w:ilvl="1" w:tplc="F018651E">
      <w:numFmt w:val="bullet"/>
      <w:lvlText w:val="-"/>
      <w:lvlJc w:val="left"/>
      <w:pPr>
        <w:tabs>
          <w:tab w:val="num" w:pos="1440"/>
        </w:tabs>
        <w:ind w:left="1440" w:hanging="360"/>
      </w:pPr>
      <w:rPr>
        <w:rFonts w:ascii="Times New Roman" w:eastAsia="Times New Roman" w:hAnsi="Times New Roman" w:cs="Times New Roman" w:hint="default"/>
      </w:rPr>
    </w:lvl>
    <w:lvl w:ilvl="2" w:tplc="83A84968">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889005B"/>
    <w:multiLevelType w:val="hybridMultilevel"/>
    <w:tmpl w:val="7D9422A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AC35B52"/>
    <w:multiLevelType w:val="hybridMultilevel"/>
    <w:tmpl w:val="D7ECFDB0"/>
    <w:lvl w:ilvl="0" w:tplc="D3B8F53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816003C"/>
    <w:multiLevelType w:val="hybridMultilevel"/>
    <w:tmpl w:val="3C08707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A4131C0"/>
    <w:multiLevelType w:val="hybridMultilevel"/>
    <w:tmpl w:val="7C067A20"/>
    <w:lvl w:ilvl="0" w:tplc="0415000F">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1">
    <w:nsid w:val="2C240B86"/>
    <w:multiLevelType w:val="hybridMultilevel"/>
    <w:tmpl w:val="AB020E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705FCD"/>
    <w:multiLevelType w:val="hybridMultilevel"/>
    <w:tmpl w:val="C5AA8A48"/>
    <w:lvl w:ilvl="0" w:tplc="0415000F">
      <w:start w:val="1"/>
      <w:numFmt w:val="decimal"/>
      <w:lvlText w:val="%1."/>
      <w:lvlJc w:val="left"/>
      <w:pPr>
        <w:tabs>
          <w:tab w:val="num" w:pos="1428"/>
        </w:tabs>
        <w:ind w:left="1428" w:hanging="360"/>
      </w:pPr>
    </w:lvl>
    <w:lvl w:ilvl="1" w:tplc="04150001">
      <w:start w:val="1"/>
      <w:numFmt w:val="bullet"/>
      <w:lvlText w:val=""/>
      <w:lvlJc w:val="left"/>
      <w:pPr>
        <w:tabs>
          <w:tab w:val="num" w:pos="2148"/>
        </w:tabs>
        <w:ind w:left="2148" w:hanging="360"/>
      </w:pPr>
      <w:rPr>
        <w:rFonts w:ascii="Symbol" w:hAnsi="Symbol" w:hint="default"/>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3">
    <w:nsid w:val="37C07F89"/>
    <w:multiLevelType w:val="hybridMultilevel"/>
    <w:tmpl w:val="230E43AE"/>
    <w:lvl w:ilvl="0" w:tplc="04150017">
      <w:start w:val="1"/>
      <w:numFmt w:val="lowerLetter"/>
      <w:lvlText w:val="%1)"/>
      <w:lvlJc w:val="left"/>
      <w:pPr>
        <w:ind w:left="1055" w:hanging="360"/>
      </w:pPr>
    </w:lvl>
    <w:lvl w:ilvl="1" w:tplc="04150019" w:tentative="1">
      <w:start w:val="1"/>
      <w:numFmt w:val="lowerLetter"/>
      <w:lvlText w:val="%2."/>
      <w:lvlJc w:val="left"/>
      <w:pPr>
        <w:ind w:left="1775" w:hanging="360"/>
      </w:pPr>
    </w:lvl>
    <w:lvl w:ilvl="2" w:tplc="0415001B" w:tentative="1">
      <w:start w:val="1"/>
      <w:numFmt w:val="lowerRoman"/>
      <w:lvlText w:val="%3."/>
      <w:lvlJc w:val="right"/>
      <w:pPr>
        <w:ind w:left="2495" w:hanging="180"/>
      </w:pPr>
    </w:lvl>
    <w:lvl w:ilvl="3" w:tplc="0415000F" w:tentative="1">
      <w:start w:val="1"/>
      <w:numFmt w:val="decimal"/>
      <w:lvlText w:val="%4."/>
      <w:lvlJc w:val="left"/>
      <w:pPr>
        <w:ind w:left="3215" w:hanging="360"/>
      </w:pPr>
    </w:lvl>
    <w:lvl w:ilvl="4" w:tplc="04150019" w:tentative="1">
      <w:start w:val="1"/>
      <w:numFmt w:val="lowerLetter"/>
      <w:lvlText w:val="%5."/>
      <w:lvlJc w:val="left"/>
      <w:pPr>
        <w:ind w:left="3935" w:hanging="360"/>
      </w:pPr>
    </w:lvl>
    <w:lvl w:ilvl="5" w:tplc="0415001B" w:tentative="1">
      <w:start w:val="1"/>
      <w:numFmt w:val="lowerRoman"/>
      <w:lvlText w:val="%6."/>
      <w:lvlJc w:val="right"/>
      <w:pPr>
        <w:ind w:left="4655" w:hanging="180"/>
      </w:pPr>
    </w:lvl>
    <w:lvl w:ilvl="6" w:tplc="0415000F" w:tentative="1">
      <w:start w:val="1"/>
      <w:numFmt w:val="decimal"/>
      <w:lvlText w:val="%7."/>
      <w:lvlJc w:val="left"/>
      <w:pPr>
        <w:ind w:left="5375" w:hanging="360"/>
      </w:pPr>
    </w:lvl>
    <w:lvl w:ilvl="7" w:tplc="04150019" w:tentative="1">
      <w:start w:val="1"/>
      <w:numFmt w:val="lowerLetter"/>
      <w:lvlText w:val="%8."/>
      <w:lvlJc w:val="left"/>
      <w:pPr>
        <w:ind w:left="6095" w:hanging="360"/>
      </w:pPr>
    </w:lvl>
    <w:lvl w:ilvl="8" w:tplc="0415001B" w:tentative="1">
      <w:start w:val="1"/>
      <w:numFmt w:val="lowerRoman"/>
      <w:lvlText w:val="%9."/>
      <w:lvlJc w:val="right"/>
      <w:pPr>
        <w:ind w:left="6815" w:hanging="180"/>
      </w:pPr>
    </w:lvl>
  </w:abstractNum>
  <w:abstractNum w:abstractNumId="14">
    <w:nsid w:val="3F030693"/>
    <w:multiLevelType w:val="hybridMultilevel"/>
    <w:tmpl w:val="A14202A6"/>
    <w:lvl w:ilvl="0" w:tplc="0415000F">
      <w:start w:val="1"/>
      <w:numFmt w:val="decimal"/>
      <w:lvlText w:val="%1."/>
      <w:lvlJc w:val="left"/>
      <w:pPr>
        <w:tabs>
          <w:tab w:val="num" w:pos="1428"/>
        </w:tabs>
        <w:ind w:left="1428" w:hanging="360"/>
      </w:pPr>
    </w:lvl>
    <w:lvl w:ilvl="1" w:tplc="FED843A2">
      <w:start w:val="1"/>
      <w:numFmt w:val="bullet"/>
      <w:lvlText w:val=""/>
      <w:lvlJc w:val="left"/>
      <w:pPr>
        <w:tabs>
          <w:tab w:val="num" w:pos="2148"/>
        </w:tabs>
        <w:ind w:left="2148" w:hanging="360"/>
      </w:pPr>
      <w:rPr>
        <w:rFonts w:ascii="Symbol" w:hAnsi="Symbol" w:hint="default"/>
      </w:rPr>
    </w:lvl>
    <w:lvl w:ilvl="2" w:tplc="04150005">
      <w:start w:val="1"/>
      <w:numFmt w:val="bullet"/>
      <w:lvlText w:val=""/>
      <w:lvlJc w:val="left"/>
      <w:pPr>
        <w:tabs>
          <w:tab w:val="num" w:pos="3048"/>
        </w:tabs>
        <w:ind w:left="3048" w:hanging="360"/>
      </w:pPr>
      <w:rPr>
        <w:rFonts w:ascii="Wingdings" w:hAnsi="Wingdings" w:hint="default"/>
      </w:r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5">
    <w:nsid w:val="53F63B95"/>
    <w:multiLevelType w:val="hybridMultilevel"/>
    <w:tmpl w:val="8362ABE8"/>
    <w:lvl w:ilvl="0" w:tplc="9C806704">
      <w:start w:val="1"/>
      <w:numFmt w:val="decimal"/>
      <w:lvlText w:val="%1."/>
      <w:lvlJc w:val="left"/>
      <w:pPr>
        <w:tabs>
          <w:tab w:val="num" w:pos="720"/>
        </w:tabs>
        <w:ind w:left="720" w:hanging="360"/>
      </w:pPr>
      <w:rPr>
        <w:rFonts w:ascii="Arial"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54824165"/>
    <w:multiLevelType w:val="hybridMultilevel"/>
    <w:tmpl w:val="1F28B79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7">
    <w:nsid w:val="5F591788"/>
    <w:multiLevelType w:val="hybridMultilevel"/>
    <w:tmpl w:val="BDDE5FCC"/>
    <w:lvl w:ilvl="0" w:tplc="0415000F">
      <w:start w:val="1"/>
      <w:numFmt w:val="decimal"/>
      <w:lvlText w:val="%1."/>
      <w:lvlJc w:val="left"/>
      <w:pPr>
        <w:tabs>
          <w:tab w:val="num" w:pos="720"/>
        </w:tabs>
        <w:ind w:left="720" w:hanging="360"/>
      </w:p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70DD0D57"/>
    <w:multiLevelType w:val="hybridMultilevel"/>
    <w:tmpl w:val="17B4C9E6"/>
    <w:lvl w:ilvl="0" w:tplc="0415000F">
      <w:start w:val="1"/>
      <w:numFmt w:val="decimal"/>
      <w:lvlText w:val="%1."/>
      <w:lvlJc w:val="left"/>
      <w:pPr>
        <w:tabs>
          <w:tab w:val="num" w:pos="720"/>
        </w:tabs>
        <w:ind w:left="720" w:hanging="360"/>
      </w:pPr>
      <w:rPr>
        <w:rFonts w:hint="default"/>
      </w:rPr>
    </w:lvl>
    <w:lvl w:ilvl="1" w:tplc="F018651E">
      <w:numFmt w:val="bullet"/>
      <w:lvlText w:val="-"/>
      <w:lvlJc w:val="left"/>
      <w:pPr>
        <w:tabs>
          <w:tab w:val="num" w:pos="1440"/>
        </w:tabs>
        <w:ind w:left="1440" w:hanging="360"/>
      </w:pPr>
      <w:rPr>
        <w:rFonts w:ascii="Times New Roman" w:eastAsia="Times New Roman" w:hAnsi="Times New Roman" w:cs="Times New Roman" w:hint="default"/>
      </w:rPr>
    </w:lvl>
    <w:lvl w:ilvl="2" w:tplc="83A84968">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73F966BF"/>
    <w:multiLevelType w:val="hybridMultilevel"/>
    <w:tmpl w:val="DB5CF4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8621012"/>
    <w:multiLevelType w:val="hybridMultilevel"/>
    <w:tmpl w:val="207A5296"/>
    <w:lvl w:ilvl="0" w:tplc="DFAA256E">
      <w:start w:val="1"/>
      <w:numFmt w:val="decimal"/>
      <w:lvlText w:val="%1."/>
      <w:lvlJc w:val="left"/>
      <w:pPr>
        <w:ind w:left="1353" w:hanging="360"/>
      </w:pPr>
      <w:rPr>
        <w:rFonts w:hint="default"/>
        <w:b w:val="0"/>
        <w:color w:val="404040" w:themeColor="text1" w:themeTint="BF"/>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1">
    <w:nsid w:val="7B7E5C17"/>
    <w:multiLevelType w:val="hybridMultilevel"/>
    <w:tmpl w:val="71D6BCF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4"/>
  </w:num>
  <w:num w:numId="4">
    <w:abstractNumId w:val="19"/>
  </w:num>
  <w:num w:numId="5">
    <w:abstractNumId w:val="8"/>
  </w:num>
  <w:num w:numId="6">
    <w:abstractNumId w:val="11"/>
  </w:num>
  <w:num w:numId="7">
    <w:abstractNumId w:val="9"/>
  </w:num>
  <w:num w:numId="8">
    <w:abstractNumId w:val="3"/>
  </w:num>
  <w:num w:numId="9">
    <w:abstractNumId w:val="18"/>
  </w:num>
  <w:num w:numId="10">
    <w:abstractNumId w:val="6"/>
  </w:num>
  <w:num w:numId="11">
    <w:abstractNumId w:val="13"/>
  </w:num>
  <w:num w:numId="12">
    <w:abstractNumId w:val="7"/>
  </w:num>
  <w:num w:numId="13">
    <w:abstractNumId w:val="0"/>
    <w:lvlOverride w:ilvl="0">
      <w:lvl w:ilvl="0">
        <w:numFmt w:val="bullet"/>
        <w:lvlText w:val="•"/>
        <w:legacy w:legacy="1" w:legacySpace="0" w:legacyIndent="0"/>
        <w:lvlJc w:val="left"/>
        <w:rPr>
          <w:rFonts w:ascii="Times New Roman" w:hAnsi="Times New Roman" w:cs="Times New Roman" w:hint="default"/>
          <w:sz w:val="24"/>
          <w:szCs w:val="24"/>
        </w:rPr>
      </w:lvl>
    </w:lvlOverride>
  </w:num>
  <w:num w:numId="14">
    <w:abstractNumId w:val="0"/>
    <w:lvlOverride w:ilvl="0">
      <w:lvl w:ilvl="0">
        <w:numFmt w:val="bullet"/>
        <w:lvlText w:val="–"/>
        <w:legacy w:legacy="1" w:legacySpace="0" w:legacyIndent="0"/>
        <w:lvlJc w:val="left"/>
        <w:rPr>
          <w:rFonts w:ascii="Times New Roman" w:hAnsi="Times New Roman" w:cs="Times New Roman" w:hint="default"/>
          <w:sz w:val="20"/>
          <w:szCs w:val="20"/>
        </w:rPr>
      </w:lvl>
    </w:lvlOverride>
  </w:num>
  <w:num w:numId="15">
    <w:abstractNumId w:val="0"/>
    <w:lvlOverride w:ilvl="0">
      <w:lvl w:ilvl="0">
        <w:numFmt w:val="bullet"/>
        <w:lvlText w:val="•"/>
        <w:legacy w:legacy="1" w:legacySpace="0" w:legacyIndent="0"/>
        <w:lvlJc w:val="left"/>
        <w:rPr>
          <w:rFonts w:ascii="Times New Roman" w:hAnsi="Times New Roman" w:cs="Times New Roman" w:hint="default"/>
          <w:sz w:val="28"/>
          <w:szCs w:val="28"/>
        </w:rPr>
      </w:lvl>
    </w:lvlOverride>
  </w:num>
  <w:num w:numId="16">
    <w:abstractNumId w:val="0"/>
    <w:lvlOverride w:ilvl="0">
      <w:lvl w:ilvl="0">
        <w:numFmt w:val="bullet"/>
        <w:lvlText w:val="–"/>
        <w:legacy w:legacy="1" w:legacySpace="0" w:legacyIndent="0"/>
        <w:lvlJc w:val="left"/>
        <w:rPr>
          <w:rFonts w:ascii="Times New Roman" w:hAnsi="Times New Roman" w:cs="Times New Roman" w:hint="default"/>
          <w:sz w:val="24"/>
          <w:szCs w:val="24"/>
        </w:rPr>
      </w:lvl>
    </w:lvlOverride>
  </w:num>
  <w:num w:numId="17">
    <w:abstractNumId w:val="0"/>
    <w:lvlOverride w:ilvl="0">
      <w:lvl w:ilvl="0">
        <w:numFmt w:val="bullet"/>
        <w:lvlText w:val="•"/>
        <w:legacy w:legacy="1" w:legacySpace="0" w:legacyIndent="0"/>
        <w:lvlJc w:val="left"/>
        <w:rPr>
          <w:rFonts w:ascii="Times New Roman" w:hAnsi="Times New Roman" w:cs="Times New Roman" w:hint="default"/>
          <w:sz w:val="20"/>
          <w:szCs w:val="20"/>
        </w:rPr>
      </w:lvl>
    </w:lvlOverride>
  </w:num>
  <w:num w:numId="18">
    <w:abstractNumId w:val="0"/>
    <w:lvlOverride w:ilvl="0">
      <w:lvl w:ilvl="0">
        <w:numFmt w:val="bullet"/>
        <w:lvlText w:val="•"/>
        <w:legacy w:legacy="1" w:legacySpace="0" w:legacyIndent="0"/>
        <w:lvlJc w:val="left"/>
        <w:rPr>
          <w:rFonts w:ascii="Times New Roman" w:hAnsi="Times New Roman" w:cs="Times New Roman" w:hint="default"/>
          <w:sz w:val="36"/>
          <w:szCs w:val="36"/>
        </w:rPr>
      </w:lvl>
    </w:lvlOverride>
  </w:num>
  <w:num w:numId="19">
    <w:abstractNumId w:val="16"/>
  </w:num>
  <w:num w:numId="20">
    <w:abstractNumId w:val="21"/>
  </w:num>
  <w:num w:numId="21">
    <w:abstractNumId w:val="12"/>
  </w:num>
  <w:num w:numId="22">
    <w:abstractNumId w:val="14"/>
  </w:num>
  <w:num w:numId="23">
    <w:abstractNumId w:val="1"/>
  </w:num>
  <w:num w:numId="24">
    <w:abstractNumId w:val="17"/>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7042"/>
  </w:hdrShapeDefaults>
  <w:footnotePr>
    <w:footnote w:id="0"/>
    <w:footnote w:id="1"/>
  </w:footnotePr>
  <w:endnotePr>
    <w:endnote w:id="0"/>
    <w:endnote w:id="1"/>
  </w:endnotePr>
  <w:compat/>
  <w:rsids>
    <w:rsidRoot w:val="000B258B"/>
    <w:rsid w:val="00014A5B"/>
    <w:rsid w:val="00015CFF"/>
    <w:rsid w:val="000314F3"/>
    <w:rsid w:val="00057E9B"/>
    <w:rsid w:val="000624A0"/>
    <w:rsid w:val="00071077"/>
    <w:rsid w:val="00073DB2"/>
    <w:rsid w:val="000958B7"/>
    <w:rsid w:val="000B13CE"/>
    <w:rsid w:val="000B258B"/>
    <w:rsid w:val="000C4C54"/>
    <w:rsid w:val="0010573A"/>
    <w:rsid w:val="00114680"/>
    <w:rsid w:val="0012587E"/>
    <w:rsid w:val="00127FB9"/>
    <w:rsid w:val="001A54FD"/>
    <w:rsid w:val="001A65AE"/>
    <w:rsid w:val="001B3141"/>
    <w:rsid w:val="001C3A43"/>
    <w:rsid w:val="001D781D"/>
    <w:rsid w:val="001F5795"/>
    <w:rsid w:val="001F79E2"/>
    <w:rsid w:val="00230B0C"/>
    <w:rsid w:val="002A2FD4"/>
    <w:rsid w:val="002B23BD"/>
    <w:rsid w:val="002D030E"/>
    <w:rsid w:val="002D24EE"/>
    <w:rsid w:val="003037D2"/>
    <w:rsid w:val="003129EB"/>
    <w:rsid w:val="00345A03"/>
    <w:rsid w:val="003550E0"/>
    <w:rsid w:val="003612F7"/>
    <w:rsid w:val="00371B16"/>
    <w:rsid w:val="0038537A"/>
    <w:rsid w:val="003A0E2D"/>
    <w:rsid w:val="003C188E"/>
    <w:rsid w:val="003E0AD8"/>
    <w:rsid w:val="0041496F"/>
    <w:rsid w:val="00425324"/>
    <w:rsid w:val="00435229"/>
    <w:rsid w:val="004402E7"/>
    <w:rsid w:val="004C03C2"/>
    <w:rsid w:val="004D1346"/>
    <w:rsid w:val="004D134E"/>
    <w:rsid w:val="004D5FF7"/>
    <w:rsid w:val="004D649B"/>
    <w:rsid w:val="0051188B"/>
    <w:rsid w:val="00555204"/>
    <w:rsid w:val="005C41E8"/>
    <w:rsid w:val="005F0FF0"/>
    <w:rsid w:val="00604432"/>
    <w:rsid w:val="006123F4"/>
    <w:rsid w:val="006226AC"/>
    <w:rsid w:val="00640A9E"/>
    <w:rsid w:val="006457C5"/>
    <w:rsid w:val="00672334"/>
    <w:rsid w:val="0068663E"/>
    <w:rsid w:val="00696E4F"/>
    <w:rsid w:val="006C52FA"/>
    <w:rsid w:val="006F7B82"/>
    <w:rsid w:val="00744C8B"/>
    <w:rsid w:val="00763B8F"/>
    <w:rsid w:val="007A4203"/>
    <w:rsid w:val="007A7A5D"/>
    <w:rsid w:val="007B5188"/>
    <w:rsid w:val="007C0AD0"/>
    <w:rsid w:val="007C39A5"/>
    <w:rsid w:val="008214FE"/>
    <w:rsid w:val="008320D8"/>
    <w:rsid w:val="00853B27"/>
    <w:rsid w:val="00882653"/>
    <w:rsid w:val="00887153"/>
    <w:rsid w:val="00894F3F"/>
    <w:rsid w:val="008B179A"/>
    <w:rsid w:val="00926195"/>
    <w:rsid w:val="00957E79"/>
    <w:rsid w:val="009E5DFA"/>
    <w:rsid w:val="00A07345"/>
    <w:rsid w:val="00A213EC"/>
    <w:rsid w:val="00A72021"/>
    <w:rsid w:val="00A86E10"/>
    <w:rsid w:val="00AC73BB"/>
    <w:rsid w:val="00AD1260"/>
    <w:rsid w:val="00AE2D59"/>
    <w:rsid w:val="00AE5084"/>
    <w:rsid w:val="00B01276"/>
    <w:rsid w:val="00B076B8"/>
    <w:rsid w:val="00B52D49"/>
    <w:rsid w:val="00B62EA3"/>
    <w:rsid w:val="00BA17DB"/>
    <w:rsid w:val="00BB47A7"/>
    <w:rsid w:val="00BE05B2"/>
    <w:rsid w:val="00BE745A"/>
    <w:rsid w:val="00C00D68"/>
    <w:rsid w:val="00C04278"/>
    <w:rsid w:val="00CA0C8E"/>
    <w:rsid w:val="00CC31D1"/>
    <w:rsid w:val="00CE1B94"/>
    <w:rsid w:val="00CE7590"/>
    <w:rsid w:val="00D140F1"/>
    <w:rsid w:val="00D51EF5"/>
    <w:rsid w:val="00D759A8"/>
    <w:rsid w:val="00D86503"/>
    <w:rsid w:val="00DC4686"/>
    <w:rsid w:val="00DD6533"/>
    <w:rsid w:val="00DE2B8A"/>
    <w:rsid w:val="00DE2EED"/>
    <w:rsid w:val="00DE7B45"/>
    <w:rsid w:val="00E1779D"/>
    <w:rsid w:val="00E60308"/>
    <w:rsid w:val="00E76476"/>
    <w:rsid w:val="00EA4459"/>
    <w:rsid w:val="00EB21EB"/>
    <w:rsid w:val="00EC5FD6"/>
    <w:rsid w:val="00EC6F87"/>
    <w:rsid w:val="00EF07F2"/>
    <w:rsid w:val="00EF4519"/>
    <w:rsid w:val="00F042B3"/>
    <w:rsid w:val="00F41BF8"/>
    <w:rsid w:val="00F64D7D"/>
    <w:rsid w:val="00F70B7C"/>
    <w:rsid w:val="00F82353"/>
    <w:rsid w:val="00FB5DD3"/>
    <w:rsid w:val="00FD04F6"/>
    <w:rsid w:val="00FD5DB9"/>
    <w:rsid w:val="00FE264D"/>
    <w:rsid w:val="00FF199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4F3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425324"/>
    <w:pPr>
      <w:widowControl w:val="0"/>
      <w:autoSpaceDE w:val="0"/>
      <w:autoSpaceDN w:val="0"/>
      <w:adjustRightInd w:val="0"/>
      <w:jc w:val="center"/>
      <w:outlineLvl w:val="0"/>
    </w:pPr>
    <w:rPr>
      <w:sz w:val="44"/>
      <w:szCs w:val="44"/>
    </w:rPr>
  </w:style>
  <w:style w:type="paragraph" w:styleId="Nagwek2">
    <w:name w:val="heading 2"/>
    <w:basedOn w:val="Normalny"/>
    <w:next w:val="Normalny"/>
    <w:link w:val="Nagwek2Znak"/>
    <w:uiPriority w:val="99"/>
    <w:qFormat/>
    <w:rsid w:val="00425324"/>
    <w:pPr>
      <w:widowControl w:val="0"/>
      <w:autoSpaceDE w:val="0"/>
      <w:autoSpaceDN w:val="0"/>
      <w:adjustRightInd w:val="0"/>
      <w:ind w:left="270" w:hanging="270"/>
      <w:outlineLvl w:val="1"/>
    </w:pPr>
    <w:rPr>
      <w:sz w:val="32"/>
      <w:szCs w:val="32"/>
    </w:rPr>
  </w:style>
  <w:style w:type="paragraph" w:styleId="Nagwek3">
    <w:name w:val="heading 3"/>
    <w:basedOn w:val="Normalny"/>
    <w:next w:val="Normalny"/>
    <w:link w:val="Nagwek3Znak"/>
    <w:uiPriority w:val="99"/>
    <w:qFormat/>
    <w:rsid w:val="00425324"/>
    <w:pPr>
      <w:widowControl w:val="0"/>
      <w:autoSpaceDE w:val="0"/>
      <w:autoSpaceDN w:val="0"/>
      <w:adjustRightInd w:val="0"/>
      <w:ind w:left="585" w:hanging="225"/>
      <w:outlineLvl w:val="2"/>
    </w:pPr>
    <w:rPr>
      <w:sz w:val="28"/>
      <w:szCs w:val="28"/>
    </w:rPr>
  </w:style>
  <w:style w:type="paragraph" w:styleId="Nagwek4">
    <w:name w:val="heading 4"/>
    <w:basedOn w:val="Normalny"/>
    <w:next w:val="Normalny"/>
    <w:link w:val="Nagwek4Znak"/>
    <w:uiPriority w:val="99"/>
    <w:qFormat/>
    <w:rsid w:val="00425324"/>
    <w:pPr>
      <w:widowControl w:val="0"/>
      <w:autoSpaceDE w:val="0"/>
      <w:autoSpaceDN w:val="0"/>
      <w:adjustRightInd w:val="0"/>
      <w:ind w:left="900" w:hanging="180"/>
      <w:outlineLvl w:val="3"/>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0B258B"/>
    <w:pPr>
      <w:tabs>
        <w:tab w:val="center" w:pos="4536"/>
        <w:tab w:val="right" w:pos="9072"/>
      </w:tabs>
    </w:pPr>
  </w:style>
  <w:style w:type="character" w:customStyle="1" w:styleId="NagwekZnak">
    <w:name w:val="Nagłówek Znak"/>
    <w:basedOn w:val="Domylnaczcionkaakapitu"/>
    <w:link w:val="Nagwek"/>
    <w:uiPriority w:val="99"/>
    <w:semiHidden/>
    <w:rsid w:val="000B258B"/>
  </w:style>
  <w:style w:type="paragraph" w:styleId="Stopka">
    <w:name w:val="footer"/>
    <w:basedOn w:val="Normalny"/>
    <w:link w:val="StopkaZnak"/>
    <w:uiPriority w:val="99"/>
    <w:semiHidden/>
    <w:unhideWhenUsed/>
    <w:rsid w:val="000B258B"/>
    <w:pPr>
      <w:tabs>
        <w:tab w:val="center" w:pos="4536"/>
        <w:tab w:val="right" w:pos="9072"/>
      </w:tabs>
    </w:pPr>
  </w:style>
  <w:style w:type="character" w:customStyle="1" w:styleId="StopkaZnak">
    <w:name w:val="Stopka Znak"/>
    <w:basedOn w:val="Domylnaczcionkaakapitu"/>
    <w:link w:val="Stopka"/>
    <w:uiPriority w:val="99"/>
    <w:semiHidden/>
    <w:rsid w:val="000B258B"/>
  </w:style>
  <w:style w:type="paragraph" w:styleId="Tekstdymka">
    <w:name w:val="Balloon Text"/>
    <w:basedOn w:val="Normalny"/>
    <w:link w:val="TekstdymkaZnak"/>
    <w:uiPriority w:val="99"/>
    <w:semiHidden/>
    <w:unhideWhenUsed/>
    <w:rsid w:val="000B258B"/>
    <w:rPr>
      <w:rFonts w:ascii="Tahoma" w:hAnsi="Tahoma" w:cs="Tahoma"/>
      <w:sz w:val="16"/>
      <w:szCs w:val="16"/>
    </w:rPr>
  </w:style>
  <w:style w:type="character" w:customStyle="1" w:styleId="TekstdymkaZnak">
    <w:name w:val="Tekst dymka Znak"/>
    <w:basedOn w:val="Domylnaczcionkaakapitu"/>
    <w:link w:val="Tekstdymka"/>
    <w:uiPriority w:val="99"/>
    <w:semiHidden/>
    <w:rsid w:val="000B258B"/>
    <w:rPr>
      <w:rFonts w:ascii="Tahoma" w:hAnsi="Tahoma" w:cs="Tahoma"/>
      <w:sz w:val="16"/>
      <w:szCs w:val="16"/>
    </w:rPr>
  </w:style>
  <w:style w:type="character" w:styleId="Hipercze">
    <w:name w:val="Hyperlink"/>
    <w:basedOn w:val="Domylnaczcionkaakapitu"/>
    <w:uiPriority w:val="99"/>
    <w:unhideWhenUsed/>
    <w:rsid w:val="00DE2EED"/>
    <w:rPr>
      <w:color w:val="0000FF" w:themeColor="hyperlink"/>
      <w:u w:val="single"/>
    </w:rPr>
  </w:style>
  <w:style w:type="paragraph" w:styleId="Akapitzlist">
    <w:name w:val="List Paragraph"/>
    <w:basedOn w:val="Normalny"/>
    <w:uiPriority w:val="34"/>
    <w:qFormat/>
    <w:rsid w:val="00B01276"/>
    <w:pPr>
      <w:ind w:left="720"/>
      <w:contextualSpacing/>
    </w:pPr>
  </w:style>
  <w:style w:type="paragraph" w:customStyle="1" w:styleId="Styl">
    <w:name w:val="Styl"/>
    <w:rsid w:val="00894F3F"/>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Nagwek1Znak">
    <w:name w:val="Nagłówek 1 Znak"/>
    <w:basedOn w:val="Domylnaczcionkaakapitu"/>
    <w:link w:val="Nagwek1"/>
    <w:uiPriority w:val="99"/>
    <w:rsid w:val="00425324"/>
    <w:rPr>
      <w:rFonts w:ascii="Times New Roman" w:eastAsia="Times New Roman" w:hAnsi="Times New Roman" w:cs="Times New Roman"/>
      <w:sz w:val="44"/>
      <w:szCs w:val="44"/>
      <w:lang w:eastAsia="pl-PL"/>
    </w:rPr>
  </w:style>
  <w:style w:type="character" w:customStyle="1" w:styleId="Nagwek2Znak">
    <w:name w:val="Nagłówek 2 Znak"/>
    <w:basedOn w:val="Domylnaczcionkaakapitu"/>
    <w:link w:val="Nagwek2"/>
    <w:uiPriority w:val="99"/>
    <w:rsid w:val="00425324"/>
    <w:rPr>
      <w:rFonts w:ascii="Times New Roman" w:eastAsia="Times New Roman" w:hAnsi="Times New Roman" w:cs="Times New Roman"/>
      <w:sz w:val="32"/>
      <w:szCs w:val="32"/>
      <w:lang w:eastAsia="pl-PL"/>
    </w:rPr>
  </w:style>
  <w:style w:type="character" w:customStyle="1" w:styleId="Nagwek3Znak">
    <w:name w:val="Nagłówek 3 Znak"/>
    <w:basedOn w:val="Domylnaczcionkaakapitu"/>
    <w:link w:val="Nagwek3"/>
    <w:uiPriority w:val="99"/>
    <w:rsid w:val="00425324"/>
    <w:rPr>
      <w:rFonts w:ascii="Times New Roman" w:eastAsia="Times New Roman" w:hAnsi="Times New Roman" w:cs="Times New Roman"/>
      <w:sz w:val="28"/>
      <w:szCs w:val="28"/>
      <w:lang w:eastAsia="pl-PL"/>
    </w:rPr>
  </w:style>
  <w:style w:type="character" w:customStyle="1" w:styleId="Nagwek4Znak">
    <w:name w:val="Nagłówek 4 Znak"/>
    <w:basedOn w:val="Domylnaczcionkaakapitu"/>
    <w:link w:val="Nagwek4"/>
    <w:uiPriority w:val="99"/>
    <w:rsid w:val="00425324"/>
    <w:rPr>
      <w:rFonts w:ascii="Times New Roman" w:eastAsia="Times New Roman" w:hAnsi="Times New Roman" w:cs="Times New Roman"/>
      <w:sz w:val="24"/>
      <w:szCs w:val="24"/>
      <w:lang w:eastAsia="pl-PL"/>
    </w:rPr>
  </w:style>
  <w:style w:type="paragraph" w:customStyle="1" w:styleId="1ZnakZnakZnakZnakZnakZnakZnakZnakZnakZnak">
    <w:name w:val="1 Znak Znak Znak Znak Znak Znak Znak Znak Znak Znak"/>
    <w:basedOn w:val="Normalny"/>
    <w:rsid w:val="00425324"/>
  </w:style>
  <w:style w:type="character" w:styleId="Odwoanieprzypisudolnego">
    <w:name w:val="footnote reference"/>
    <w:basedOn w:val="Domylnaczcionkaakapitu"/>
    <w:semiHidden/>
    <w:rsid w:val="00CE7590"/>
    <w:rPr>
      <w:vertAlign w:val="superscript"/>
    </w:rPr>
  </w:style>
  <w:style w:type="paragraph" w:styleId="Legenda">
    <w:name w:val="caption"/>
    <w:basedOn w:val="Normalny"/>
    <w:next w:val="Normalny"/>
    <w:qFormat/>
    <w:rsid w:val="00073DB2"/>
    <w:pPr>
      <w:jc w:val="center"/>
    </w:pPr>
    <w:rPr>
      <w:rFonts w:eastAsia="Calibri"/>
      <w:b/>
      <w:sz w:val="32"/>
      <w:szCs w:val="20"/>
    </w:rPr>
  </w:style>
  <w:style w:type="table" w:styleId="Tabela-Siatka">
    <w:name w:val="Table Grid"/>
    <w:basedOn w:val="Standardowy"/>
    <w:uiPriority w:val="59"/>
    <w:rsid w:val="00645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437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5.bin"/><Relationship Id="rId2" Type="http://schemas.openxmlformats.org/officeDocument/2006/relationships/image" Target="media/image7.emf"/><Relationship Id="rId1" Type="http://schemas.openxmlformats.org/officeDocument/2006/relationships/hyperlink" Target="mailto:biuro@eurogalicja.com.pl" TargetMode="External"/></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3.bin"/><Relationship Id="rId3" Type="http://schemas.openxmlformats.org/officeDocument/2006/relationships/image" Target="media/image2.jpeg"/><Relationship Id="rId7" Type="http://schemas.openxmlformats.org/officeDocument/2006/relationships/image" Target="media/image5.emf"/><Relationship Id="rId2" Type="http://schemas.openxmlformats.org/officeDocument/2006/relationships/oleObject" Target="embeddings/oleObject1.bin"/><Relationship Id="rId1" Type="http://schemas.openxmlformats.org/officeDocument/2006/relationships/image" Target="media/image1.emf"/><Relationship Id="rId6" Type="http://schemas.openxmlformats.org/officeDocument/2006/relationships/oleObject" Target="embeddings/oleObject2.bin"/><Relationship Id="rId5" Type="http://schemas.openxmlformats.org/officeDocument/2006/relationships/image" Target="media/image4.emf"/><Relationship Id="rId10" Type="http://schemas.openxmlformats.org/officeDocument/2006/relationships/oleObject" Target="embeddings/oleObject4.bin"/><Relationship Id="rId4" Type="http://schemas.openxmlformats.org/officeDocument/2006/relationships/image" Target="media/image3.jpeg"/><Relationship Id="rId9" Type="http://schemas.openxmlformats.org/officeDocument/2006/relationships/image" Target="media/image6.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CC160-C851-4647-96E5-C02135907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880</Words>
  <Characters>5283</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Stowarzyszenie</dc:creator>
  <cp:keywords/>
  <dc:description/>
  <cp:lastModifiedBy>Grzegorz</cp:lastModifiedBy>
  <cp:revision>7</cp:revision>
  <cp:lastPrinted>2011-11-09T13:53:00Z</cp:lastPrinted>
  <dcterms:created xsi:type="dcterms:W3CDTF">2011-09-07T09:22:00Z</dcterms:created>
  <dcterms:modified xsi:type="dcterms:W3CDTF">2012-11-08T11:04:00Z</dcterms:modified>
</cp:coreProperties>
</file>